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92" w:type="dxa"/>
        <w:tblLook w:val="04A0" w:firstRow="1" w:lastRow="0" w:firstColumn="1" w:lastColumn="0" w:noHBand="0" w:noVBand="1"/>
      </w:tblPr>
      <w:tblGrid>
        <w:gridCol w:w="3595"/>
        <w:gridCol w:w="6197"/>
      </w:tblGrid>
      <w:tr w:rsidR="000C6008" w:rsidRPr="00A219FB" w14:paraId="5927FEC1" w14:textId="77777777" w:rsidTr="00B33EE5">
        <w:trPr>
          <w:trHeight w:val="639"/>
        </w:trPr>
        <w:tc>
          <w:tcPr>
            <w:tcW w:w="3595" w:type="dxa"/>
          </w:tcPr>
          <w:p w14:paraId="1D1B1BC9" w14:textId="77777777" w:rsidR="006C07B8" w:rsidRPr="00A219FB" w:rsidRDefault="006C07B8">
            <w:pPr>
              <w:rPr>
                <w:rFonts w:ascii="Garamond" w:hAnsi="Garamond" w:cs="Times New Roman"/>
              </w:rPr>
            </w:pPr>
            <w:r w:rsidRPr="00A219FB">
              <w:rPr>
                <w:rFonts w:ascii="Garamond" w:hAnsi="Garamond" w:cs="Times New Roman"/>
              </w:rPr>
              <w:t>Address</w:t>
            </w:r>
          </w:p>
        </w:tc>
        <w:tc>
          <w:tcPr>
            <w:tcW w:w="6197" w:type="dxa"/>
          </w:tcPr>
          <w:p w14:paraId="3405AF6F" w14:textId="74E4004E" w:rsidR="006C07B8" w:rsidRPr="00A219FB" w:rsidRDefault="006803BB" w:rsidP="00554693">
            <w:pPr>
              <w:jc w:val="both"/>
              <w:rPr>
                <w:rFonts w:ascii="Garamond" w:hAnsi="Garamond" w:cs="Times New Roman"/>
              </w:rPr>
            </w:pPr>
            <w:r w:rsidRPr="00A219FB">
              <w:rPr>
                <w:rFonts w:ascii="Garamond" w:hAnsi="Garamond"/>
              </w:rPr>
              <w:t xml:space="preserve">Corporate Office: </w:t>
            </w:r>
            <w:r w:rsidR="008B77A8">
              <w:rPr>
                <w:rFonts w:ascii="Garamond" w:hAnsi="Garamond"/>
              </w:rPr>
              <w:t xml:space="preserve">Energy Center, 25 Tejgaon I/A, </w:t>
            </w:r>
            <w:proofErr w:type="gramStart"/>
            <w:r w:rsidR="008B77A8">
              <w:rPr>
                <w:rFonts w:ascii="Garamond" w:hAnsi="Garamond"/>
              </w:rPr>
              <w:t xml:space="preserve">Tejgaon,  </w:t>
            </w:r>
            <w:r w:rsidR="006C6865" w:rsidRPr="00A219FB">
              <w:rPr>
                <w:rFonts w:ascii="Garamond" w:hAnsi="Garamond"/>
              </w:rPr>
              <w:t>Dhaka</w:t>
            </w:r>
            <w:proofErr w:type="gramEnd"/>
            <w:r w:rsidR="008B77A8">
              <w:rPr>
                <w:rFonts w:ascii="Garamond" w:hAnsi="Garamond"/>
              </w:rPr>
              <w:t>-1208</w:t>
            </w:r>
            <w:r w:rsidR="007C6139" w:rsidRPr="00A219FB">
              <w:rPr>
                <w:rFonts w:ascii="Garamond" w:hAnsi="Garamond" w:cs="Times New Roman"/>
              </w:rPr>
              <w:t>,</w:t>
            </w:r>
            <w:r w:rsidR="00AA2610" w:rsidRPr="00A219FB">
              <w:rPr>
                <w:rFonts w:ascii="Garamond" w:hAnsi="Garamond" w:cs="Times New Roman"/>
              </w:rPr>
              <w:t xml:space="preserve"> </w:t>
            </w:r>
            <w:r w:rsidR="006C6865" w:rsidRPr="00A219FB">
              <w:rPr>
                <w:rFonts w:ascii="Garamond" w:hAnsi="Garamond"/>
              </w:rPr>
              <w:t>Tel: +88-02-</w:t>
            </w:r>
            <w:r w:rsidR="008B77A8">
              <w:rPr>
                <w:rFonts w:ascii="Garamond" w:hAnsi="Garamond"/>
              </w:rPr>
              <w:t>8870669</w:t>
            </w:r>
            <w:r w:rsidR="006C6865" w:rsidRPr="00A219FB">
              <w:rPr>
                <w:rFonts w:ascii="Garamond" w:hAnsi="Garamond"/>
              </w:rPr>
              <w:t xml:space="preserve"> Fax: +88-02-</w:t>
            </w:r>
            <w:r w:rsidR="008B77A8">
              <w:rPr>
                <w:rFonts w:ascii="Garamond" w:hAnsi="Garamond"/>
              </w:rPr>
              <w:t>8870697</w:t>
            </w:r>
            <w:r w:rsidR="00FD703C" w:rsidRPr="00A219FB">
              <w:rPr>
                <w:rFonts w:ascii="Garamond" w:hAnsi="Garamond"/>
              </w:rPr>
              <w:t xml:space="preserve">; </w:t>
            </w:r>
            <w:r w:rsidR="006C6865" w:rsidRPr="00A219FB">
              <w:rPr>
                <w:rFonts w:ascii="Garamond" w:hAnsi="Garamond"/>
              </w:rPr>
              <w:t xml:space="preserve">E-mail: </w:t>
            </w:r>
            <w:r w:rsidR="008B77A8">
              <w:rPr>
                <w:rFonts w:ascii="Garamond" w:hAnsi="Garamond"/>
              </w:rPr>
              <w:t>epgl.ipo@energypac.com</w:t>
            </w:r>
            <w:r w:rsidR="00FD703C" w:rsidRPr="00A219FB">
              <w:rPr>
                <w:rFonts w:ascii="Garamond" w:hAnsi="Garamond"/>
              </w:rPr>
              <w:t xml:space="preserve"> </w:t>
            </w:r>
            <w:r w:rsidR="006C6865" w:rsidRPr="00A219FB">
              <w:rPr>
                <w:rFonts w:ascii="Garamond" w:hAnsi="Garamond"/>
              </w:rPr>
              <w:t>Web: www.</w:t>
            </w:r>
            <w:r w:rsidR="008B77A8">
              <w:rPr>
                <w:rFonts w:ascii="Garamond" w:hAnsi="Garamond"/>
              </w:rPr>
              <w:t>energypac.com</w:t>
            </w:r>
          </w:p>
        </w:tc>
      </w:tr>
      <w:tr w:rsidR="00A56A7D" w:rsidRPr="00A219FB" w14:paraId="6C9BA4A4" w14:textId="77777777" w:rsidTr="00B33EE5">
        <w:trPr>
          <w:trHeight w:val="368"/>
        </w:trPr>
        <w:tc>
          <w:tcPr>
            <w:tcW w:w="3595" w:type="dxa"/>
          </w:tcPr>
          <w:p w14:paraId="3B3F385E" w14:textId="0ED5C625" w:rsidR="00A56A7D" w:rsidRPr="00A219FB" w:rsidRDefault="00A56A7D">
            <w:pPr>
              <w:rPr>
                <w:rFonts w:ascii="Garamond" w:hAnsi="Garamond" w:cs="Times New Roman"/>
              </w:rPr>
            </w:pPr>
            <w:r w:rsidRPr="00A219FB">
              <w:rPr>
                <w:rFonts w:ascii="Garamond" w:hAnsi="Garamond" w:cs="Times New Roman"/>
              </w:rPr>
              <w:t>Managing Director</w:t>
            </w:r>
          </w:p>
        </w:tc>
        <w:tc>
          <w:tcPr>
            <w:tcW w:w="6197" w:type="dxa"/>
          </w:tcPr>
          <w:p w14:paraId="0362491E" w14:textId="71152AF1" w:rsidR="00A56A7D" w:rsidRPr="00A219FB" w:rsidRDefault="00554693" w:rsidP="00192E28">
            <w:pPr>
              <w:jc w:val="both"/>
              <w:rPr>
                <w:rFonts w:ascii="Garamond" w:hAnsi="Garamond" w:cs="Times New Roman"/>
              </w:rPr>
            </w:pPr>
            <w:r w:rsidRPr="00A219FB">
              <w:rPr>
                <w:rFonts w:ascii="Garamond" w:hAnsi="Garamond" w:cs="Times New Roman"/>
              </w:rPr>
              <w:t xml:space="preserve">Mr. </w:t>
            </w:r>
            <w:r w:rsidR="008B77A8">
              <w:rPr>
                <w:rFonts w:ascii="Garamond" w:hAnsi="Garamond" w:cs="Times New Roman"/>
              </w:rPr>
              <w:t>Humayun Rashid</w:t>
            </w:r>
          </w:p>
        </w:tc>
      </w:tr>
      <w:tr w:rsidR="000C6008" w:rsidRPr="00A219FB" w14:paraId="0523BB2B" w14:textId="77777777" w:rsidTr="00B33EE5">
        <w:trPr>
          <w:trHeight w:val="639"/>
        </w:trPr>
        <w:tc>
          <w:tcPr>
            <w:tcW w:w="3595" w:type="dxa"/>
          </w:tcPr>
          <w:p w14:paraId="6E650C40" w14:textId="77777777" w:rsidR="00D06126" w:rsidRPr="00A219FB" w:rsidRDefault="00D06126">
            <w:pPr>
              <w:rPr>
                <w:rFonts w:ascii="Garamond" w:hAnsi="Garamond" w:cs="Times New Roman"/>
              </w:rPr>
            </w:pPr>
            <w:r w:rsidRPr="00A219FB">
              <w:rPr>
                <w:rFonts w:ascii="Garamond" w:hAnsi="Garamond" w:cs="Times New Roman"/>
              </w:rPr>
              <w:t>Nature of Business</w:t>
            </w:r>
          </w:p>
        </w:tc>
        <w:tc>
          <w:tcPr>
            <w:tcW w:w="6197" w:type="dxa"/>
          </w:tcPr>
          <w:p w14:paraId="3593E0CC" w14:textId="3EAE9D33" w:rsidR="00D06126" w:rsidRPr="00AF3CE5" w:rsidRDefault="00AF3CE5" w:rsidP="00AF3CE5">
            <w:pPr>
              <w:jc w:val="both"/>
              <w:rPr>
                <w:rFonts w:ascii="Garamond" w:hAnsi="Garamond" w:cs="Times New Roman"/>
              </w:rPr>
            </w:pPr>
            <w:r w:rsidRPr="00AF3CE5">
              <w:rPr>
                <w:rFonts w:ascii="Garamond" w:hAnsi="Garamond"/>
              </w:rPr>
              <w:t>The Company is engaged as major supplier of base load and standby gas and diesel generators and provides rent, solar panel, accessories and turnkey solutions, independent power plant, operation and maintenance of power plant, transmission and distribution, CNG refueling station and conversion kits, importing and marketing JAC automobiles, machinery and materials, spare parts, installation and service, cylinder manufacturing plant and refueling station in Bangladesh.</w:t>
            </w:r>
          </w:p>
        </w:tc>
      </w:tr>
      <w:tr w:rsidR="00461DB0" w:rsidRPr="00A219FB" w14:paraId="0F77DBB3" w14:textId="77777777" w:rsidTr="00A219FB">
        <w:trPr>
          <w:trHeight w:val="440"/>
        </w:trPr>
        <w:tc>
          <w:tcPr>
            <w:tcW w:w="3595" w:type="dxa"/>
          </w:tcPr>
          <w:p w14:paraId="60749B37" w14:textId="501BE72B" w:rsidR="00461DB0" w:rsidRPr="00A219FB" w:rsidRDefault="00461DB0">
            <w:pPr>
              <w:rPr>
                <w:rFonts w:ascii="Garamond" w:hAnsi="Garamond" w:cs="Times New Roman"/>
              </w:rPr>
            </w:pPr>
            <w:r w:rsidRPr="00A219FB">
              <w:rPr>
                <w:rFonts w:ascii="Garamond" w:hAnsi="Garamond" w:cs="Times New Roman"/>
              </w:rPr>
              <w:t>Product/Service</w:t>
            </w:r>
          </w:p>
        </w:tc>
        <w:tc>
          <w:tcPr>
            <w:tcW w:w="6197" w:type="dxa"/>
          </w:tcPr>
          <w:p w14:paraId="747389BC" w14:textId="1D850353" w:rsidR="00461DB0" w:rsidRPr="00A219FB" w:rsidRDefault="00AF3CE5" w:rsidP="00EE5BDC">
            <w:pPr>
              <w:jc w:val="both"/>
              <w:rPr>
                <w:rFonts w:ascii="Garamond" w:hAnsi="Garamond" w:cs="Times New Roman"/>
              </w:rPr>
            </w:pPr>
            <w:r>
              <w:rPr>
                <w:rFonts w:ascii="Garamond" w:hAnsi="Garamond" w:cs="Times New Roman"/>
              </w:rPr>
              <w:t xml:space="preserve">Power Generation Solution, Engineering, Procurement &amp; Construction Contract (EPC), Commercial vehicle Marketing such as JAC brand pick up, truck, bus, Construction Machineries and material Handling Solution, Tractor for </w:t>
            </w:r>
            <w:proofErr w:type="spellStart"/>
            <w:r>
              <w:rPr>
                <w:rFonts w:ascii="Garamond" w:hAnsi="Garamond" w:cs="Times New Roman"/>
              </w:rPr>
              <w:t>Agro</w:t>
            </w:r>
            <w:proofErr w:type="spellEnd"/>
            <w:r>
              <w:rPr>
                <w:rFonts w:ascii="Garamond" w:hAnsi="Garamond" w:cs="Times New Roman"/>
              </w:rPr>
              <w:t xml:space="preserve"> farm, LPG bottling and distribution etc.</w:t>
            </w:r>
          </w:p>
        </w:tc>
      </w:tr>
      <w:tr w:rsidR="000C6008" w:rsidRPr="00A219FB" w14:paraId="291E5762" w14:textId="77777777" w:rsidTr="00B33EE5">
        <w:trPr>
          <w:trHeight w:val="326"/>
        </w:trPr>
        <w:tc>
          <w:tcPr>
            <w:tcW w:w="3595" w:type="dxa"/>
          </w:tcPr>
          <w:p w14:paraId="2CC0226E" w14:textId="6391796F" w:rsidR="00D06126" w:rsidRPr="00A219FB" w:rsidRDefault="00612B4B">
            <w:pPr>
              <w:rPr>
                <w:rFonts w:ascii="Garamond" w:hAnsi="Garamond" w:cs="Times New Roman"/>
              </w:rPr>
            </w:pPr>
            <w:r w:rsidRPr="00A219FB">
              <w:rPr>
                <w:rFonts w:ascii="Garamond" w:hAnsi="Garamond" w:cs="Times New Roman"/>
              </w:rPr>
              <w:t>Market for the products</w:t>
            </w:r>
            <w:r w:rsidR="00AF3CE5">
              <w:rPr>
                <w:rFonts w:ascii="Garamond" w:hAnsi="Garamond" w:cs="Times New Roman"/>
              </w:rPr>
              <w:t>/services</w:t>
            </w:r>
          </w:p>
        </w:tc>
        <w:tc>
          <w:tcPr>
            <w:tcW w:w="6197" w:type="dxa"/>
          </w:tcPr>
          <w:p w14:paraId="61F5ADED" w14:textId="23E0FF03" w:rsidR="00D06126" w:rsidRPr="00A219FB" w:rsidRDefault="00F158F3">
            <w:pPr>
              <w:rPr>
                <w:rFonts w:ascii="Garamond" w:hAnsi="Garamond" w:cs="Times New Roman"/>
              </w:rPr>
            </w:pPr>
            <w:r w:rsidRPr="00A219FB">
              <w:rPr>
                <w:rFonts w:ascii="Garamond" w:hAnsi="Garamond" w:cs="Times New Roman"/>
              </w:rPr>
              <w:t xml:space="preserve">Domestic  </w:t>
            </w:r>
          </w:p>
        </w:tc>
      </w:tr>
      <w:tr w:rsidR="000C6008" w:rsidRPr="00A219FB" w14:paraId="35326890" w14:textId="77777777" w:rsidTr="00B33EE5">
        <w:trPr>
          <w:trHeight w:val="326"/>
        </w:trPr>
        <w:tc>
          <w:tcPr>
            <w:tcW w:w="3595" w:type="dxa"/>
          </w:tcPr>
          <w:p w14:paraId="6625FF69" w14:textId="77777777" w:rsidR="00112509" w:rsidRPr="00A219FB" w:rsidRDefault="00112509" w:rsidP="00112509">
            <w:pPr>
              <w:rPr>
                <w:rFonts w:ascii="Garamond" w:hAnsi="Garamond" w:cs="Times New Roman"/>
              </w:rPr>
            </w:pPr>
            <w:r w:rsidRPr="00A219FB">
              <w:rPr>
                <w:rFonts w:ascii="Garamond" w:hAnsi="Garamond" w:cs="Times New Roman"/>
              </w:rPr>
              <w:t>BSEC’s Consent for IPO</w:t>
            </w:r>
          </w:p>
        </w:tc>
        <w:tc>
          <w:tcPr>
            <w:tcW w:w="6197" w:type="dxa"/>
          </w:tcPr>
          <w:p w14:paraId="5AC43BAE" w14:textId="6C11B467" w:rsidR="00112509" w:rsidRPr="00A219FB" w:rsidRDefault="00656302" w:rsidP="00112509">
            <w:pPr>
              <w:rPr>
                <w:rFonts w:ascii="Garamond" w:hAnsi="Garamond" w:cs="Times New Roman"/>
              </w:rPr>
            </w:pPr>
            <w:r>
              <w:rPr>
                <w:rFonts w:ascii="Garamond" w:hAnsi="Garamond" w:cs="Times New Roman"/>
              </w:rPr>
              <w:t xml:space="preserve">November 05, </w:t>
            </w:r>
            <w:r w:rsidR="00EF1ADA" w:rsidRPr="00A219FB">
              <w:rPr>
                <w:rFonts w:ascii="Garamond" w:hAnsi="Garamond" w:cs="Times New Roman"/>
              </w:rPr>
              <w:t>2020</w:t>
            </w:r>
          </w:p>
        </w:tc>
      </w:tr>
      <w:tr w:rsidR="000C6008" w:rsidRPr="00A219FB" w14:paraId="599281B7" w14:textId="77777777" w:rsidTr="00B33EE5">
        <w:trPr>
          <w:trHeight w:val="326"/>
        </w:trPr>
        <w:tc>
          <w:tcPr>
            <w:tcW w:w="3595" w:type="dxa"/>
          </w:tcPr>
          <w:p w14:paraId="69E23ACB" w14:textId="77777777" w:rsidR="00112509" w:rsidRPr="00A219FB" w:rsidRDefault="00112509" w:rsidP="00112509">
            <w:pPr>
              <w:rPr>
                <w:rFonts w:ascii="Garamond" w:hAnsi="Garamond" w:cs="Times New Roman"/>
              </w:rPr>
            </w:pPr>
            <w:r w:rsidRPr="00A219FB">
              <w:rPr>
                <w:rFonts w:ascii="Garamond" w:hAnsi="Garamond" w:cs="Times New Roman"/>
              </w:rPr>
              <w:t>Issue Date of Prospectus</w:t>
            </w:r>
          </w:p>
        </w:tc>
        <w:tc>
          <w:tcPr>
            <w:tcW w:w="6197" w:type="dxa"/>
          </w:tcPr>
          <w:p w14:paraId="26F67FD3" w14:textId="4B49D838" w:rsidR="00112509" w:rsidRPr="00A219FB" w:rsidRDefault="00656302" w:rsidP="00112509">
            <w:pPr>
              <w:rPr>
                <w:rFonts w:ascii="Garamond" w:hAnsi="Garamond" w:cs="Times New Roman"/>
              </w:rPr>
            </w:pPr>
            <w:r>
              <w:rPr>
                <w:rFonts w:ascii="Garamond" w:hAnsi="Garamond" w:cs="Times New Roman"/>
              </w:rPr>
              <w:t>November 09, 2020</w:t>
            </w:r>
          </w:p>
        </w:tc>
      </w:tr>
      <w:tr w:rsidR="000C6008" w:rsidRPr="00A219FB" w14:paraId="41D2EF4F" w14:textId="77777777" w:rsidTr="00B33EE5">
        <w:trPr>
          <w:trHeight w:val="326"/>
        </w:trPr>
        <w:tc>
          <w:tcPr>
            <w:tcW w:w="3595" w:type="dxa"/>
          </w:tcPr>
          <w:p w14:paraId="64872EEE" w14:textId="77777777" w:rsidR="00112509" w:rsidRPr="00A219FB" w:rsidRDefault="00112509" w:rsidP="00112509">
            <w:pPr>
              <w:rPr>
                <w:rFonts w:ascii="Garamond" w:hAnsi="Garamond" w:cs="Times New Roman"/>
              </w:rPr>
            </w:pPr>
            <w:r w:rsidRPr="00A219FB">
              <w:rPr>
                <w:rFonts w:ascii="Garamond" w:hAnsi="Garamond" w:cs="Times New Roman"/>
              </w:rPr>
              <w:t>Subscription Open</w:t>
            </w:r>
          </w:p>
        </w:tc>
        <w:tc>
          <w:tcPr>
            <w:tcW w:w="6197" w:type="dxa"/>
          </w:tcPr>
          <w:p w14:paraId="31205E6B" w14:textId="56E70C69" w:rsidR="00112509" w:rsidRPr="00A219FB" w:rsidRDefault="00656302" w:rsidP="00112509">
            <w:pPr>
              <w:rPr>
                <w:rFonts w:ascii="Garamond" w:hAnsi="Garamond" w:cs="Times New Roman"/>
              </w:rPr>
            </w:pPr>
            <w:r>
              <w:rPr>
                <w:rFonts w:ascii="Garamond" w:hAnsi="Garamond" w:cs="Times New Roman"/>
              </w:rPr>
              <w:t>December 07, 2020</w:t>
            </w:r>
          </w:p>
        </w:tc>
      </w:tr>
      <w:tr w:rsidR="000C6008" w:rsidRPr="00A219FB" w14:paraId="560E626A" w14:textId="77777777" w:rsidTr="00B33EE5">
        <w:trPr>
          <w:trHeight w:val="326"/>
        </w:trPr>
        <w:tc>
          <w:tcPr>
            <w:tcW w:w="3595" w:type="dxa"/>
          </w:tcPr>
          <w:p w14:paraId="54338BA1" w14:textId="77777777" w:rsidR="00112509" w:rsidRPr="00A219FB" w:rsidRDefault="00112509" w:rsidP="00112509">
            <w:pPr>
              <w:rPr>
                <w:rFonts w:ascii="Garamond" w:hAnsi="Garamond" w:cs="Times New Roman"/>
              </w:rPr>
            </w:pPr>
            <w:r w:rsidRPr="00A219FB">
              <w:rPr>
                <w:rFonts w:ascii="Garamond" w:hAnsi="Garamond" w:cs="Times New Roman"/>
              </w:rPr>
              <w:t>Subscription Close</w:t>
            </w:r>
          </w:p>
        </w:tc>
        <w:tc>
          <w:tcPr>
            <w:tcW w:w="6197" w:type="dxa"/>
          </w:tcPr>
          <w:p w14:paraId="588088D6" w14:textId="605B4335" w:rsidR="00112509" w:rsidRPr="00A219FB" w:rsidRDefault="00656302" w:rsidP="00112509">
            <w:pPr>
              <w:rPr>
                <w:rFonts w:ascii="Garamond" w:hAnsi="Garamond" w:cs="Times New Roman"/>
              </w:rPr>
            </w:pPr>
            <w:r>
              <w:rPr>
                <w:rFonts w:ascii="Garamond" w:hAnsi="Garamond" w:cs="Times New Roman"/>
              </w:rPr>
              <w:t>December 13, 2020</w:t>
            </w:r>
          </w:p>
        </w:tc>
      </w:tr>
      <w:tr w:rsidR="000C6008" w:rsidRPr="00A219FB" w14:paraId="450DAF4B" w14:textId="77777777" w:rsidTr="00B33EE5">
        <w:trPr>
          <w:trHeight w:val="326"/>
        </w:trPr>
        <w:tc>
          <w:tcPr>
            <w:tcW w:w="3595" w:type="dxa"/>
          </w:tcPr>
          <w:p w14:paraId="2652E22E" w14:textId="63592C6C" w:rsidR="00112509" w:rsidRPr="00A219FB" w:rsidRDefault="00112509" w:rsidP="00112509">
            <w:pPr>
              <w:rPr>
                <w:rFonts w:ascii="Garamond" w:hAnsi="Garamond" w:cs="Times New Roman"/>
              </w:rPr>
            </w:pPr>
            <w:r w:rsidRPr="00A219FB">
              <w:rPr>
                <w:rFonts w:ascii="Garamond" w:hAnsi="Garamond" w:cs="Times New Roman"/>
              </w:rPr>
              <w:t>Security Trading Code</w:t>
            </w:r>
          </w:p>
        </w:tc>
        <w:tc>
          <w:tcPr>
            <w:tcW w:w="6197" w:type="dxa"/>
          </w:tcPr>
          <w:p w14:paraId="54BBD600" w14:textId="437FB4DA" w:rsidR="00112509" w:rsidRPr="00A219FB" w:rsidRDefault="00656302" w:rsidP="00112509">
            <w:pPr>
              <w:rPr>
                <w:rFonts w:ascii="Garamond" w:hAnsi="Garamond" w:cs="Times New Roman"/>
              </w:rPr>
            </w:pPr>
            <w:r>
              <w:rPr>
                <w:rFonts w:ascii="Garamond" w:hAnsi="Garamond"/>
              </w:rPr>
              <w:t>EPGL</w:t>
            </w:r>
          </w:p>
        </w:tc>
      </w:tr>
      <w:tr w:rsidR="000C6008" w:rsidRPr="00A219FB" w14:paraId="22964DA9" w14:textId="77777777" w:rsidTr="00B33EE5">
        <w:trPr>
          <w:trHeight w:val="326"/>
        </w:trPr>
        <w:tc>
          <w:tcPr>
            <w:tcW w:w="3595" w:type="dxa"/>
          </w:tcPr>
          <w:p w14:paraId="00E27333" w14:textId="77777777" w:rsidR="00112509" w:rsidRPr="00A219FB" w:rsidRDefault="00112509" w:rsidP="00112509">
            <w:pPr>
              <w:rPr>
                <w:rFonts w:ascii="Garamond" w:hAnsi="Garamond" w:cs="Times New Roman"/>
              </w:rPr>
            </w:pPr>
            <w:r w:rsidRPr="00A219FB">
              <w:rPr>
                <w:rFonts w:ascii="Garamond" w:hAnsi="Garamond" w:cs="Times New Roman"/>
              </w:rPr>
              <w:t>Public Offer of Ordinary Shares</w:t>
            </w:r>
          </w:p>
        </w:tc>
        <w:tc>
          <w:tcPr>
            <w:tcW w:w="6197" w:type="dxa"/>
          </w:tcPr>
          <w:p w14:paraId="0A6A1438" w14:textId="3752B03C" w:rsidR="00112509" w:rsidRPr="00A219FB" w:rsidRDefault="00656302" w:rsidP="00112509">
            <w:pPr>
              <w:rPr>
                <w:rFonts w:ascii="Garamond" w:hAnsi="Garamond" w:cs="Times New Roman"/>
              </w:rPr>
            </w:pPr>
            <w:r>
              <w:rPr>
                <w:rFonts w:ascii="Garamond" w:hAnsi="Garamond" w:cs="Times New Roman"/>
              </w:rPr>
              <w:t>20,146,800</w:t>
            </w:r>
            <w:r w:rsidR="00C94110" w:rsidRPr="00A219FB">
              <w:rPr>
                <w:rFonts w:ascii="Garamond" w:hAnsi="Garamond" w:cs="Times New Roman"/>
              </w:rPr>
              <w:t xml:space="preserve"> shares</w:t>
            </w:r>
          </w:p>
        </w:tc>
      </w:tr>
      <w:tr w:rsidR="000C6008" w:rsidRPr="00A219FB" w14:paraId="30D05EA2" w14:textId="77777777" w:rsidTr="00B33EE5">
        <w:trPr>
          <w:trHeight w:val="326"/>
        </w:trPr>
        <w:tc>
          <w:tcPr>
            <w:tcW w:w="3595" w:type="dxa"/>
          </w:tcPr>
          <w:p w14:paraId="7B2E1CE7" w14:textId="7881F06C" w:rsidR="00112509" w:rsidRPr="00A219FB" w:rsidRDefault="00656302" w:rsidP="00112509">
            <w:pPr>
              <w:rPr>
                <w:rFonts w:ascii="Garamond" w:hAnsi="Garamond" w:cs="Times New Roman"/>
              </w:rPr>
            </w:pPr>
            <w:r>
              <w:rPr>
                <w:rFonts w:ascii="Garamond" w:hAnsi="Garamond" w:cs="Times New Roman"/>
              </w:rPr>
              <w:t>I</w:t>
            </w:r>
            <w:r w:rsidR="00D06A2D" w:rsidRPr="00A219FB">
              <w:rPr>
                <w:rFonts w:ascii="Garamond" w:hAnsi="Garamond" w:cs="Times New Roman"/>
              </w:rPr>
              <w:t xml:space="preserve">ssue Price </w:t>
            </w:r>
            <w:r w:rsidR="00C5364E" w:rsidRPr="00A219FB">
              <w:rPr>
                <w:rFonts w:ascii="Garamond" w:hAnsi="Garamond" w:cs="Times New Roman"/>
              </w:rPr>
              <w:t>per share</w:t>
            </w:r>
          </w:p>
        </w:tc>
        <w:tc>
          <w:tcPr>
            <w:tcW w:w="6197" w:type="dxa"/>
          </w:tcPr>
          <w:p w14:paraId="3317BD92" w14:textId="5C088246" w:rsidR="00112509" w:rsidRPr="00A219FB" w:rsidRDefault="00112509" w:rsidP="00112509">
            <w:pPr>
              <w:rPr>
                <w:rFonts w:ascii="Garamond" w:hAnsi="Garamond" w:cs="Times New Roman"/>
              </w:rPr>
            </w:pPr>
            <w:r w:rsidRPr="00A219FB">
              <w:rPr>
                <w:rFonts w:ascii="Garamond" w:hAnsi="Garamond" w:cs="Times New Roman"/>
              </w:rPr>
              <w:t xml:space="preserve">Tk. </w:t>
            </w:r>
            <w:r w:rsidR="00656302">
              <w:rPr>
                <w:rFonts w:ascii="Garamond" w:hAnsi="Garamond" w:cs="Times New Roman"/>
              </w:rPr>
              <w:t>31 E</w:t>
            </w:r>
            <w:r w:rsidRPr="00A219FB">
              <w:rPr>
                <w:rFonts w:ascii="Garamond" w:hAnsi="Garamond" w:cs="Times New Roman"/>
              </w:rPr>
              <w:t>ach</w:t>
            </w:r>
            <w:r w:rsidR="00461DB0" w:rsidRPr="00A219FB">
              <w:rPr>
                <w:rFonts w:ascii="Garamond" w:hAnsi="Garamond" w:cs="Times New Roman"/>
              </w:rPr>
              <w:t xml:space="preserve"> </w:t>
            </w:r>
            <w:r w:rsidR="00656302">
              <w:rPr>
                <w:rFonts w:ascii="Garamond" w:hAnsi="Garamond" w:cs="Times New Roman"/>
              </w:rPr>
              <w:t>(Cut Off price Tk. 35.00)</w:t>
            </w:r>
          </w:p>
        </w:tc>
      </w:tr>
      <w:tr w:rsidR="000C6008" w:rsidRPr="00A219FB" w14:paraId="0FDC08CE" w14:textId="77777777" w:rsidTr="00B33EE5">
        <w:trPr>
          <w:trHeight w:val="326"/>
        </w:trPr>
        <w:tc>
          <w:tcPr>
            <w:tcW w:w="3595" w:type="dxa"/>
          </w:tcPr>
          <w:p w14:paraId="44CB4977" w14:textId="77777777" w:rsidR="00112509" w:rsidRPr="00A219FB" w:rsidRDefault="00112509" w:rsidP="00112509">
            <w:pPr>
              <w:rPr>
                <w:rFonts w:ascii="Garamond" w:hAnsi="Garamond" w:cs="Times New Roman"/>
              </w:rPr>
            </w:pPr>
            <w:r w:rsidRPr="00A219FB">
              <w:rPr>
                <w:rFonts w:ascii="Garamond" w:hAnsi="Garamond" w:cs="Times New Roman"/>
              </w:rPr>
              <w:t>Authorized Capital</w:t>
            </w:r>
          </w:p>
        </w:tc>
        <w:tc>
          <w:tcPr>
            <w:tcW w:w="6197" w:type="dxa"/>
          </w:tcPr>
          <w:p w14:paraId="45CE2130" w14:textId="73D5E235" w:rsidR="00112509" w:rsidRPr="00A219FB" w:rsidRDefault="00112509" w:rsidP="00112509">
            <w:pPr>
              <w:rPr>
                <w:rFonts w:ascii="Garamond" w:hAnsi="Garamond" w:cs="Times New Roman"/>
              </w:rPr>
            </w:pPr>
            <w:r w:rsidRPr="00A219FB">
              <w:rPr>
                <w:rFonts w:ascii="Garamond" w:hAnsi="Garamond" w:cs="Times New Roman"/>
              </w:rPr>
              <w:t xml:space="preserve">Tk. </w:t>
            </w:r>
            <w:r w:rsidR="00656302">
              <w:rPr>
                <w:rFonts w:ascii="Garamond" w:hAnsi="Garamond" w:cs="Times New Roman"/>
              </w:rPr>
              <w:t>5</w:t>
            </w:r>
            <w:r w:rsidR="000119FD" w:rsidRPr="00A219FB">
              <w:rPr>
                <w:rFonts w:ascii="Garamond" w:hAnsi="Garamond" w:cs="Times New Roman"/>
              </w:rPr>
              <w:t>,000</w:t>
            </w:r>
            <w:r w:rsidRPr="00A219FB">
              <w:rPr>
                <w:rFonts w:ascii="Garamond" w:hAnsi="Garamond" w:cs="Times New Roman"/>
              </w:rPr>
              <w:t>mn</w:t>
            </w:r>
          </w:p>
        </w:tc>
      </w:tr>
      <w:tr w:rsidR="000C6008" w:rsidRPr="00A219FB" w14:paraId="498C0E68" w14:textId="77777777" w:rsidTr="00B33EE5">
        <w:trPr>
          <w:trHeight w:val="326"/>
        </w:trPr>
        <w:tc>
          <w:tcPr>
            <w:tcW w:w="3595" w:type="dxa"/>
          </w:tcPr>
          <w:p w14:paraId="074A7C90" w14:textId="77777777" w:rsidR="00112509" w:rsidRPr="00A219FB" w:rsidRDefault="00112509" w:rsidP="00112509">
            <w:pPr>
              <w:rPr>
                <w:rFonts w:ascii="Garamond" w:hAnsi="Garamond" w:cs="Times New Roman"/>
              </w:rPr>
            </w:pPr>
            <w:r w:rsidRPr="00A219FB">
              <w:rPr>
                <w:rFonts w:ascii="Garamond" w:hAnsi="Garamond" w:cs="Times New Roman"/>
              </w:rPr>
              <w:t>Pre-IPO Paid-up Capital</w:t>
            </w:r>
          </w:p>
        </w:tc>
        <w:tc>
          <w:tcPr>
            <w:tcW w:w="6197" w:type="dxa"/>
          </w:tcPr>
          <w:p w14:paraId="4F995CDB" w14:textId="58A4FB42" w:rsidR="00112509" w:rsidRPr="00A219FB" w:rsidRDefault="00112509" w:rsidP="00112509">
            <w:pPr>
              <w:rPr>
                <w:rFonts w:ascii="Garamond" w:hAnsi="Garamond" w:cs="Times New Roman"/>
              </w:rPr>
            </w:pPr>
            <w:r w:rsidRPr="00A219FB">
              <w:rPr>
                <w:rFonts w:ascii="Garamond" w:hAnsi="Garamond" w:cs="Times New Roman"/>
              </w:rPr>
              <w:t xml:space="preserve">Tk. </w:t>
            </w:r>
            <w:r w:rsidR="00656302">
              <w:rPr>
                <w:rFonts w:ascii="Garamond" w:hAnsi="Garamond" w:cs="Times New Roman"/>
              </w:rPr>
              <w:t xml:space="preserve">1,498.69mn </w:t>
            </w:r>
          </w:p>
        </w:tc>
      </w:tr>
      <w:tr w:rsidR="000C6008" w:rsidRPr="00A219FB" w14:paraId="3D7DC843" w14:textId="77777777" w:rsidTr="00B33EE5">
        <w:trPr>
          <w:trHeight w:val="326"/>
        </w:trPr>
        <w:tc>
          <w:tcPr>
            <w:tcW w:w="3595" w:type="dxa"/>
          </w:tcPr>
          <w:p w14:paraId="1D118540" w14:textId="77777777" w:rsidR="00112509" w:rsidRPr="00A219FB" w:rsidRDefault="00112509" w:rsidP="00112509">
            <w:pPr>
              <w:rPr>
                <w:rFonts w:ascii="Garamond" w:hAnsi="Garamond" w:cs="Times New Roman"/>
              </w:rPr>
            </w:pPr>
            <w:r w:rsidRPr="00A219FB">
              <w:rPr>
                <w:rFonts w:ascii="Garamond" w:hAnsi="Garamond" w:cs="Times New Roman"/>
              </w:rPr>
              <w:t xml:space="preserve">IPO Size </w:t>
            </w:r>
          </w:p>
        </w:tc>
        <w:tc>
          <w:tcPr>
            <w:tcW w:w="6197" w:type="dxa"/>
          </w:tcPr>
          <w:p w14:paraId="44319715" w14:textId="22DBA897" w:rsidR="00112509" w:rsidRPr="00A219FB" w:rsidRDefault="00112509" w:rsidP="00112509">
            <w:pPr>
              <w:rPr>
                <w:rFonts w:ascii="Garamond" w:hAnsi="Garamond" w:cs="Times New Roman"/>
              </w:rPr>
            </w:pPr>
            <w:r w:rsidRPr="00A219FB">
              <w:rPr>
                <w:rFonts w:ascii="Garamond" w:hAnsi="Garamond" w:cs="Times New Roman"/>
              </w:rPr>
              <w:t>Tk.</w:t>
            </w:r>
            <w:r w:rsidR="000119FD" w:rsidRPr="00A219FB">
              <w:rPr>
                <w:rFonts w:ascii="Garamond" w:hAnsi="Garamond" w:cs="Times New Roman"/>
              </w:rPr>
              <w:t xml:space="preserve"> </w:t>
            </w:r>
            <w:r w:rsidR="00F0665C" w:rsidRPr="00A219FB">
              <w:rPr>
                <w:rFonts w:ascii="Garamond" w:hAnsi="Garamond" w:cs="Times New Roman"/>
              </w:rPr>
              <w:t>1</w:t>
            </w:r>
            <w:r w:rsidR="00656302">
              <w:rPr>
                <w:rFonts w:ascii="Garamond" w:hAnsi="Garamond" w:cs="Times New Roman"/>
              </w:rPr>
              <w:t>,500.00</w:t>
            </w:r>
            <w:r w:rsidR="00733C6A" w:rsidRPr="00A219FB">
              <w:rPr>
                <w:rFonts w:ascii="Garamond" w:hAnsi="Garamond" w:cs="Times New Roman"/>
              </w:rPr>
              <w:t xml:space="preserve"> </w:t>
            </w:r>
            <w:proofErr w:type="spellStart"/>
            <w:r w:rsidR="002B0AD4" w:rsidRPr="00A219FB">
              <w:rPr>
                <w:rFonts w:ascii="Garamond" w:hAnsi="Garamond" w:cs="Times New Roman"/>
              </w:rPr>
              <w:t>mn</w:t>
            </w:r>
            <w:proofErr w:type="spellEnd"/>
          </w:p>
        </w:tc>
      </w:tr>
      <w:tr w:rsidR="000C6008" w:rsidRPr="00A219FB" w14:paraId="6BC81EAB" w14:textId="77777777" w:rsidTr="00B33EE5">
        <w:trPr>
          <w:trHeight w:val="326"/>
        </w:trPr>
        <w:tc>
          <w:tcPr>
            <w:tcW w:w="3595" w:type="dxa"/>
          </w:tcPr>
          <w:p w14:paraId="1D787EB2" w14:textId="77777777" w:rsidR="00112509" w:rsidRPr="00A219FB" w:rsidRDefault="00112509" w:rsidP="00112509">
            <w:pPr>
              <w:rPr>
                <w:rFonts w:ascii="Garamond" w:hAnsi="Garamond" w:cs="Times New Roman"/>
              </w:rPr>
            </w:pPr>
            <w:r w:rsidRPr="00A219FB">
              <w:rPr>
                <w:rFonts w:ascii="Garamond" w:hAnsi="Garamond" w:cs="Times New Roman"/>
              </w:rPr>
              <w:t>Post IPO Paid-up Capital</w:t>
            </w:r>
          </w:p>
        </w:tc>
        <w:tc>
          <w:tcPr>
            <w:tcW w:w="6197" w:type="dxa"/>
          </w:tcPr>
          <w:p w14:paraId="32A129AA" w14:textId="5A752685" w:rsidR="00112509" w:rsidRPr="00A219FB" w:rsidRDefault="00112509" w:rsidP="00112509">
            <w:pPr>
              <w:rPr>
                <w:rFonts w:ascii="Garamond" w:hAnsi="Garamond" w:cs="Times New Roman"/>
              </w:rPr>
            </w:pPr>
            <w:r w:rsidRPr="00A219FB">
              <w:rPr>
                <w:rFonts w:ascii="Garamond" w:hAnsi="Garamond" w:cs="Times New Roman"/>
              </w:rPr>
              <w:t xml:space="preserve">Tk. </w:t>
            </w:r>
            <w:r w:rsidR="00656302">
              <w:rPr>
                <w:rFonts w:ascii="Garamond" w:hAnsi="Garamond" w:cs="Times New Roman"/>
              </w:rPr>
              <w:t>1,901.63</w:t>
            </w:r>
            <w:r w:rsidR="00D06A2D" w:rsidRPr="00A219FB">
              <w:rPr>
                <w:rFonts w:ascii="Garamond" w:hAnsi="Garamond" w:cs="Times New Roman"/>
              </w:rPr>
              <w:t xml:space="preserve"> </w:t>
            </w:r>
            <w:proofErr w:type="spellStart"/>
            <w:r w:rsidR="002B0AD4" w:rsidRPr="00A219FB">
              <w:rPr>
                <w:rFonts w:ascii="Garamond" w:hAnsi="Garamond" w:cs="Times New Roman"/>
              </w:rPr>
              <w:t>mn</w:t>
            </w:r>
            <w:proofErr w:type="spellEnd"/>
          </w:p>
        </w:tc>
      </w:tr>
      <w:tr w:rsidR="000C6008" w:rsidRPr="00A219FB" w14:paraId="3A447882" w14:textId="77777777" w:rsidTr="00B33EE5">
        <w:trPr>
          <w:trHeight w:val="359"/>
        </w:trPr>
        <w:tc>
          <w:tcPr>
            <w:tcW w:w="3595" w:type="dxa"/>
          </w:tcPr>
          <w:p w14:paraId="774D83FF" w14:textId="7D519EC6" w:rsidR="00112509" w:rsidRPr="00A219FB" w:rsidRDefault="00112509" w:rsidP="00112509">
            <w:pPr>
              <w:rPr>
                <w:rFonts w:ascii="Garamond" w:hAnsi="Garamond" w:cs="Times New Roman"/>
              </w:rPr>
            </w:pPr>
            <w:r w:rsidRPr="00A219FB">
              <w:rPr>
                <w:rFonts w:ascii="Garamond" w:hAnsi="Garamond" w:cs="Times New Roman"/>
              </w:rPr>
              <w:t>Min. size for IPO subscription (per lot)</w:t>
            </w:r>
          </w:p>
        </w:tc>
        <w:tc>
          <w:tcPr>
            <w:tcW w:w="6197" w:type="dxa"/>
          </w:tcPr>
          <w:p w14:paraId="73CDD3D5" w14:textId="30416A61" w:rsidR="00112509" w:rsidRPr="00A219FB" w:rsidRDefault="00656302" w:rsidP="00112509">
            <w:pPr>
              <w:rPr>
                <w:rFonts w:ascii="Garamond" w:hAnsi="Garamond" w:cs="Times New Roman"/>
              </w:rPr>
            </w:pPr>
            <w:r>
              <w:rPr>
                <w:rFonts w:ascii="Garamond" w:hAnsi="Garamond" w:cs="Times New Roman"/>
              </w:rPr>
              <w:t>2</w:t>
            </w:r>
            <w:r w:rsidR="00112509" w:rsidRPr="00A219FB">
              <w:rPr>
                <w:rFonts w:ascii="Garamond" w:hAnsi="Garamond" w:cs="Times New Roman"/>
              </w:rPr>
              <w:t>00</w:t>
            </w:r>
          </w:p>
        </w:tc>
      </w:tr>
      <w:tr w:rsidR="00F158F3" w:rsidRPr="00A219FB" w14:paraId="32485C7A" w14:textId="77777777" w:rsidTr="00B33EE5">
        <w:trPr>
          <w:trHeight w:val="359"/>
        </w:trPr>
        <w:tc>
          <w:tcPr>
            <w:tcW w:w="3595" w:type="dxa"/>
          </w:tcPr>
          <w:p w14:paraId="3B350B00" w14:textId="382FC000" w:rsidR="00F158F3" w:rsidRPr="00A219FB" w:rsidRDefault="00F158F3" w:rsidP="00112509">
            <w:pPr>
              <w:rPr>
                <w:rFonts w:ascii="Garamond" w:hAnsi="Garamond" w:cs="Times New Roman"/>
              </w:rPr>
            </w:pPr>
            <w:r w:rsidRPr="00A219FB">
              <w:rPr>
                <w:rFonts w:ascii="Garamond" w:hAnsi="Garamond" w:cs="Times New Roman"/>
              </w:rPr>
              <w:t>Foreign Currency required for NRB and Foreign Applicants (per lot)</w:t>
            </w:r>
          </w:p>
        </w:tc>
        <w:tc>
          <w:tcPr>
            <w:tcW w:w="6197" w:type="dxa"/>
          </w:tcPr>
          <w:p w14:paraId="7CF3DBE8" w14:textId="288ACB32" w:rsidR="00F158F3" w:rsidRPr="00A219FB" w:rsidRDefault="00B53F59" w:rsidP="00112509">
            <w:pPr>
              <w:rPr>
                <w:rFonts w:ascii="Garamond" w:hAnsi="Garamond" w:cs="Times New Roman"/>
              </w:rPr>
            </w:pPr>
            <w:r w:rsidRPr="00B53F59">
              <w:rPr>
                <w:rFonts w:ascii="Garamond" w:hAnsi="Garamond" w:cs="Times New Roman"/>
              </w:rPr>
              <w:t>USD 73.64 or GBP 56.01 or EUR 62.26</w:t>
            </w:r>
          </w:p>
        </w:tc>
      </w:tr>
      <w:tr w:rsidR="000C6008" w:rsidRPr="00A219FB" w14:paraId="0BD9DCAE" w14:textId="77777777" w:rsidTr="00A219FB">
        <w:trPr>
          <w:trHeight w:val="1898"/>
        </w:trPr>
        <w:tc>
          <w:tcPr>
            <w:tcW w:w="3595" w:type="dxa"/>
          </w:tcPr>
          <w:p w14:paraId="5F1738E0" w14:textId="77777777" w:rsidR="00112509" w:rsidRPr="008A13FA" w:rsidRDefault="00112509" w:rsidP="00112509">
            <w:pPr>
              <w:rPr>
                <w:rFonts w:ascii="Garamond" w:hAnsi="Garamond" w:cs="Times New Roman"/>
              </w:rPr>
            </w:pPr>
            <w:r w:rsidRPr="008A13FA">
              <w:rPr>
                <w:rFonts w:ascii="Garamond" w:hAnsi="Garamond" w:cs="Times New Roman"/>
              </w:rPr>
              <w:t>Use of IPO proceeds</w:t>
            </w:r>
          </w:p>
        </w:tc>
        <w:tc>
          <w:tcPr>
            <w:tcW w:w="6197" w:type="dxa"/>
          </w:tcPr>
          <w:tbl>
            <w:tblPr>
              <w:tblStyle w:val="TableGrid"/>
              <w:tblW w:w="0" w:type="auto"/>
              <w:tblInd w:w="3" w:type="dxa"/>
              <w:tblLook w:val="04A0" w:firstRow="1" w:lastRow="0" w:firstColumn="1" w:lastColumn="0" w:noHBand="0" w:noVBand="1"/>
            </w:tblPr>
            <w:tblGrid>
              <w:gridCol w:w="3487"/>
              <w:gridCol w:w="2481"/>
            </w:tblGrid>
            <w:tr w:rsidR="008A13FA" w:rsidRPr="008A13FA" w14:paraId="71538C47" w14:textId="77777777" w:rsidTr="00853CF0">
              <w:trPr>
                <w:trHeight w:val="326"/>
              </w:trPr>
              <w:tc>
                <w:tcPr>
                  <w:tcW w:w="3487" w:type="dxa"/>
                </w:tcPr>
                <w:p w14:paraId="18EDCCA8" w14:textId="77777777" w:rsidR="00112509" w:rsidRPr="008A13FA" w:rsidRDefault="00112509" w:rsidP="00112509">
                  <w:pPr>
                    <w:rPr>
                      <w:rFonts w:ascii="Garamond" w:hAnsi="Garamond" w:cs="Times New Roman"/>
                    </w:rPr>
                  </w:pPr>
                  <w:r w:rsidRPr="008A13FA">
                    <w:rPr>
                      <w:rFonts w:ascii="Garamond" w:hAnsi="Garamond" w:cs="Times New Roman"/>
                    </w:rPr>
                    <w:t>Particulars</w:t>
                  </w:r>
                </w:p>
              </w:tc>
              <w:tc>
                <w:tcPr>
                  <w:tcW w:w="2481" w:type="dxa"/>
                </w:tcPr>
                <w:p w14:paraId="75D1165B" w14:textId="7890179F" w:rsidR="00112509" w:rsidRPr="008A13FA" w:rsidRDefault="00B33EE5" w:rsidP="00112509">
                  <w:pPr>
                    <w:rPr>
                      <w:rFonts w:ascii="Garamond" w:hAnsi="Garamond" w:cs="Times New Roman"/>
                    </w:rPr>
                  </w:pPr>
                  <w:r w:rsidRPr="008A13FA">
                    <w:rPr>
                      <w:rFonts w:ascii="Garamond" w:hAnsi="Garamond" w:cs="Times New Roman"/>
                    </w:rPr>
                    <w:t xml:space="preserve">    </w:t>
                  </w:r>
                  <w:r w:rsidR="00112509" w:rsidRPr="008A13FA">
                    <w:rPr>
                      <w:rFonts w:ascii="Garamond" w:hAnsi="Garamond" w:cs="Times New Roman"/>
                    </w:rPr>
                    <w:t>Amount (BDT)</w:t>
                  </w:r>
                </w:p>
              </w:tc>
            </w:tr>
            <w:tr w:rsidR="008A13FA" w:rsidRPr="008A13FA" w14:paraId="43D64AE5" w14:textId="77777777" w:rsidTr="00853CF0">
              <w:trPr>
                <w:trHeight w:val="326"/>
              </w:trPr>
              <w:tc>
                <w:tcPr>
                  <w:tcW w:w="3487" w:type="dxa"/>
                </w:tcPr>
                <w:p w14:paraId="2D397D4D" w14:textId="020F73B4" w:rsidR="00112509" w:rsidRPr="008A13FA" w:rsidRDefault="00853CF0" w:rsidP="00112509">
                  <w:pPr>
                    <w:rPr>
                      <w:rFonts w:ascii="Garamond" w:hAnsi="Garamond" w:cs="Times New Roman"/>
                    </w:rPr>
                  </w:pPr>
                  <w:r w:rsidRPr="008A13FA">
                    <w:t>Procurement of LPG Carrier &amp; Accessories</w:t>
                  </w:r>
                </w:p>
              </w:tc>
              <w:tc>
                <w:tcPr>
                  <w:tcW w:w="2481" w:type="dxa"/>
                </w:tcPr>
                <w:p w14:paraId="1188B00B" w14:textId="6249CA39" w:rsidR="00112509" w:rsidRPr="008A13FA" w:rsidRDefault="00853CF0" w:rsidP="00966EBB">
                  <w:pPr>
                    <w:jc w:val="center"/>
                    <w:rPr>
                      <w:rFonts w:ascii="Garamond" w:hAnsi="Garamond" w:cs="Times New Roman"/>
                    </w:rPr>
                  </w:pPr>
                  <w:r w:rsidRPr="008A13FA">
                    <w:t xml:space="preserve">      262.27mn</w:t>
                  </w:r>
                  <w:r w:rsidRPr="008A13FA">
                    <w:rPr>
                      <w:rFonts w:ascii="Garamond" w:hAnsi="Garamond" w:cs="Times New Roman"/>
                    </w:rPr>
                    <w:t xml:space="preserve"> </w:t>
                  </w:r>
                  <w:r w:rsidR="00112509" w:rsidRPr="008A13FA">
                    <w:rPr>
                      <w:rFonts w:ascii="Garamond" w:hAnsi="Garamond" w:cs="Times New Roman"/>
                    </w:rPr>
                    <w:t>(</w:t>
                  </w:r>
                  <w:r w:rsidR="00DB79CA" w:rsidRPr="008A13FA">
                    <w:rPr>
                      <w:rFonts w:ascii="Garamond" w:hAnsi="Garamond" w:cs="Times New Roman"/>
                    </w:rPr>
                    <w:t>17.49</w:t>
                  </w:r>
                  <w:r w:rsidR="00112509" w:rsidRPr="008A13FA">
                    <w:rPr>
                      <w:rFonts w:ascii="Garamond" w:hAnsi="Garamond" w:cs="Times New Roman"/>
                    </w:rPr>
                    <w:t>%)</w:t>
                  </w:r>
                </w:p>
              </w:tc>
            </w:tr>
            <w:tr w:rsidR="008A13FA" w:rsidRPr="008A13FA" w14:paraId="0C2826D2" w14:textId="77777777" w:rsidTr="00853CF0">
              <w:trPr>
                <w:trHeight w:val="368"/>
              </w:trPr>
              <w:tc>
                <w:tcPr>
                  <w:tcW w:w="3487" w:type="dxa"/>
                </w:tcPr>
                <w:p w14:paraId="0F04162D" w14:textId="38347828" w:rsidR="00112509" w:rsidRPr="008A13FA" w:rsidRDefault="00853CF0" w:rsidP="00112509">
                  <w:pPr>
                    <w:rPr>
                      <w:rFonts w:ascii="Garamond" w:hAnsi="Garamond" w:cs="Times New Roman"/>
                    </w:rPr>
                  </w:pPr>
                  <w:r w:rsidRPr="008A13FA">
                    <w:t>Import of LPG Cylinders</w:t>
                  </w:r>
                </w:p>
              </w:tc>
              <w:tc>
                <w:tcPr>
                  <w:tcW w:w="2481" w:type="dxa"/>
                </w:tcPr>
                <w:p w14:paraId="2AD36DCD" w14:textId="7053F254" w:rsidR="00112509" w:rsidRPr="008A13FA" w:rsidRDefault="000119FD" w:rsidP="00966EBB">
                  <w:pPr>
                    <w:jc w:val="center"/>
                    <w:rPr>
                      <w:rFonts w:ascii="Garamond" w:hAnsi="Garamond" w:cs="Times New Roman"/>
                    </w:rPr>
                  </w:pPr>
                  <w:r w:rsidRPr="008A13FA">
                    <w:rPr>
                      <w:rFonts w:ascii="Garamond" w:hAnsi="Garamond"/>
                    </w:rPr>
                    <w:t xml:space="preserve">     </w:t>
                  </w:r>
                  <w:r w:rsidR="00F0665C" w:rsidRPr="008A13FA">
                    <w:rPr>
                      <w:rFonts w:ascii="Garamond" w:hAnsi="Garamond"/>
                    </w:rPr>
                    <w:t xml:space="preserve"> </w:t>
                  </w:r>
                  <w:r w:rsidRPr="008A13FA">
                    <w:rPr>
                      <w:rFonts w:ascii="Garamond" w:hAnsi="Garamond"/>
                    </w:rPr>
                    <w:t xml:space="preserve"> </w:t>
                  </w:r>
                  <w:r w:rsidR="00853CF0" w:rsidRPr="008A13FA">
                    <w:t>521.88mn</w:t>
                  </w:r>
                  <w:r w:rsidR="00853CF0" w:rsidRPr="008A13FA">
                    <w:rPr>
                      <w:rFonts w:ascii="Garamond" w:hAnsi="Garamond" w:cs="Times New Roman"/>
                    </w:rPr>
                    <w:t xml:space="preserve"> </w:t>
                  </w:r>
                  <w:r w:rsidR="00112509" w:rsidRPr="008A13FA">
                    <w:rPr>
                      <w:rFonts w:ascii="Garamond" w:hAnsi="Garamond" w:cs="Times New Roman"/>
                    </w:rPr>
                    <w:t>(</w:t>
                  </w:r>
                  <w:r w:rsidR="00F0665C" w:rsidRPr="008A13FA">
                    <w:rPr>
                      <w:rFonts w:ascii="Garamond" w:hAnsi="Garamond" w:cs="Times New Roman"/>
                    </w:rPr>
                    <w:t>3</w:t>
                  </w:r>
                  <w:r w:rsidR="00DB79CA" w:rsidRPr="008A13FA">
                    <w:rPr>
                      <w:rFonts w:ascii="Garamond" w:hAnsi="Garamond" w:cs="Times New Roman"/>
                    </w:rPr>
                    <w:t>4.79</w:t>
                  </w:r>
                  <w:r w:rsidR="00112509" w:rsidRPr="008A13FA">
                    <w:rPr>
                      <w:rFonts w:ascii="Garamond" w:hAnsi="Garamond" w:cs="Times New Roman"/>
                    </w:rPr>
                    <w:t>%)</w:t>
                  </w:r>
                </w:p>
              </w:tc>
            </w:tr>
            <w:tr w:rsidR="008A13FA" w:rsidRPr="008A13FA" w14:paraId="7FB103C7" w14:textId="77777777" w:rsidTr="00853CF0">
              <w:trPr>
                <w:trHeight w:val="368"/>
              </w:trPr>
              <w:tc>
                <w:tcPr>
                  <w:tcW w:w="3487" w:type="dxa"/>
                </w:tcPr>
                <w:p w14:paraId="22298E63" w14:textId="0F8ACC41" w:rsidR="00B53F59" w:rsidRPr="008A13FA" w:rsidRDefault="00853CF0" w:rsidP="00112509">
                  <w:pPr>
                    <w:rPr>
                      <w:rFonts w:ascii="Garamond" w:hAnsi="Garamond"/>
                    </w:rPr>
                  </w:pPr>
                  <w:r w:rsidRPr="008A13FA">
                    <w:t>Procurement of Material for LPG Cylinders</w:t>
                  </w:r>
                </w:p>
              </w:tc>
              <w:tc>
                <w:tcPr>
                  <w:tcW w:w="2481" w:type="dxa"/>
                </w:tcPr>
                <w:p w14:paraId="2F4831F3" w14:textId="049C98F4" w:rsidR="00B53F59" w:rsidRPr="008A13FA" w:rsidRDefault="00853CF0" w:rsidP="00853CF0">
                  <w:pPr>
                    <w:rPr>
                      <w:rFonts w:ascii="Garamond" w:hAnsi="Garamond"/>
                    </w:rPr>
                  </w:pPr>
                  <w:r w:rsidRPr="008A13FA">
                    <w:t xml:space="preserve">          175.71mn</w:t>
                  </w:r>
                  <w:r w:rsidR="00DB79CA" w:rsidRPr="008A13FA">
                    <w:t xml:space="preserve"> (11.71%)</w:t>
                  </w:r>
                </w:p>
              </w:tc>
            </w:tr>
            <w:tr w:rsidR="008A13FA" w:rsidRPr="008A13FA" w14:paraId="062A102D" w14:textId="77777777" w:rsidTr="00853CF0">
              <w:trPr>
                <w:trHeight w:val="368"/>
              </w:trPr>
              <w:tc>
                <w:tcPr>
                  <w:tcW w:w="3487" w:type="dxa"/>
                </w:tcPr>
                <w:p w14:paraId="62AC3D18" w14:textId="2AFA6F3A" w:rsidR="00B53F59" w:rsidRPr="008A13FA" w:rsidRDefault="00853CF0" w:rsidP="00112509">
                  <w:pPr>
                    <w:rPr>
                      <w:rFonts w:ascii="Garamond" w:hAnsi="Garamond"/>
                    </w:rPr>
                  </w:pPr>
                  <w:r w:rsidRPr="008A13FA">
                    <w:t>Loan Repayment</w:t>
                  </w:r>
                </w:p>
              </w:tc>
              <w:tc>
                <w:tcPr>
                  <w:tcW w:w="2481" w:type="dxa"/>
                </w:tcPr>
                <w:p w14:paraId="04B09AAA" w14:textId="1C5D8546" w:rsidR="00B53F59" w:rsidRPr="008A13FA" w:rsidRDefault="00853CF0" w:rsidP="00853CF0">
                  <w:pPr>
                    <w:rPr>
                      <w:rFonts w:ascii="Garamond" w:hAnsi="Garamond"/>
                    </w:rPr>
                  </w:pPr>
                  <w:r w:rsidRPr="008A13FA">
                    <w:t xml:space="preserve">       </w:t>
                  </w:r>
                  <w:r w:rsidR="00DB79CA" w:rsidRPr="008A13FA">
                    <w:t xml:space="preserve">  </w:t>
                  </w:r>
                  <w:r w:rsidRPr="008A13FA">
                    <w:t xml:space="preserve"> 500.00mn</w:t>
                  </w:r>
                  <w:r w:rsidR="00DB79CA" w:rsidRPr="008A13FA">
                    <w:t xml:space="preserve"> (33.33%)</w:t>
                  </w:r>
                </w:p>
              </w:tc>
            </w:tr>
            <w:tr w:rsidR="008A13FA" w:rsidRPr="008A13FA" w14:paraId="5174AE32" w14:textId="77777777" w:rsidTr="00853CF0">
              <w:trPr>
                <w:trHeight w:val="313"/>
              </w:trPr>
              <w:tc>
                <w:tcPr>
                  <w:tcW w:w="3487" w:type="dxa"/>
                </w:tcPr>
                <w:p w14:paraId="0F498D9C" w14:textId="68A568D3" w:rsidR="00966EBB" w:rsidRPr="008A13FA" w:rsidRDefault="00966EBB" w:rsidP="00112509">
                  <w:pPr>
                    <w:rPr>
                      <w:rFonts w:ascii="Garamond" w:hAnsi="Garamond" w:cs="Times New Roman"/>
                    </w:rPr>
                  </w:pPr>
                  <w:r w:rsidRPr="008A13FA">
                    <w:rPr>
                      <w:rFonts w:ascii="Garamond" w:hAnsi="Garamond" w:cs="Times New Roman"/>
                    </w:rPr>
                    <w:t>IPO Expenses</w:t>
                  </w:r>
                </w:p>
              </w:tc>
              <w:tc>
                <w:tcPr>
                  <w:tcW w:w="2481" w:type="dxa"/>
                </w:tcPr>
                <w:p w14:paraId="13CA42E3" w14:textId="7BED4DBA" w:rsidR="00966EBB" w:rsidRPr="008A13FA" w:rsidRDefault="00853CF0" w:rsidP="00966EBB">
                  <w:pPr>
                    <w:jc w:val="center"/>
                    <w:rPr>
                      <w:rFonts w:ascii="Garamond" w:hAnsi="Garamond" w:cs="Times New Roman"/>
                    </w:rPr>
                  </w:pPr>
                  <w:r w:rsidRPr="008A13FA">
                    <w:t xml:space="preserve">     </w:t>
                  </w:r>
                  <w:r w:rsidR="00DB79CA" w:rsidRPr="008A13FA">
                    <w:t xml:space="preserve">      </w:t>
                  </w:r>
                  <w:r w:rsidRPr="008A13FA">
                    <w:t xml:space="preserve"> 40.13</w:t>
                  </w:r>
                  <w:proofErr w:type="gramStart"/>
                  <w:r w:rsidRPr="008A13FA">
                    <w:t>mn</w:t>
                  </w:r>
                  <w:r w:rsidR="00DB79CA" w:rsidRPr="008A13FA">
                    <w:t xml:space="preserve">  (</w:t>
                  </w:r>
                  <w:proofErr w:type="gramEnd"/>
                  <w:r w:rsidR="00102EE8" w:rsidRPr="008A13FA">
                    <w:rPr>
                      <w:rFonts w:ascii="Garamond" w:hAnsi="Garamond" w:cs="Times New Roman"/>
                    </w:rPr>
                    <w:t>0</w:t>
                  </w:r>
                  <w:r w:rsidR="00DB79CA" w:rsidRPr="008A13FA">
                    <w:rPr>
                      <w:rFonts w:ascii="Garamond" w:hAnsi="Garamond" w:cs="Times New Roman"/>
                    </w:rPr>
                    <w:t>2.68</w:t>
                  </w:r>
                  <w:r w:rsidR="00966EBB" w:rsidRPr="008A13FA">
                    <w:rPr>
                      <w:rFonts w:ascii="Garamond" w:hAnsi="Garamond" w:cs="Times New Roman"/>
                    </w:rPr>
                    <w:t>%)</w:t>
                  </w:r>
                </w:p>
              </w:tc>
            </w:tr>
            <w:tr w:rsidR="008A13FA" w:rsidRPr="008A13FA" w14:paraId="3373CE5F" w14:textId="77777777" w:rsidTr="00853CF0">
              <w:trPr>
                <w:trHeight w:val="326"/>
              </w:trPr>
              <w:tc>
                <w:tcPr>
                  <w:tcW w:w="3487" w:type="dxa"/>
                </w:tcPr>
                <w:p w14:paraId="258DBAF4" w14:textId="77777777" w:rsidR="00112509" w:rsidRPr="008A13FA" w:rsidRDefault="00112509" w:rsidP="00112509">
                  <w:pPr>
                    <w:rPr>
                      <w:rFonts w:ascii="Garamond" w:hAnsi="Garamond" w:cs="Times New Roman"/>
                    </w:rPr>
                  </w:pPr>
                  <w:r w:rsidRPr="008A13FA">
                    <w:rPr>
                      <w:rFonts w:ascii="Garamond" w:hAnsi="Garamond" w:cs="Times New Roman"/>
                    </w:rPr>
                    <w:t>Total</w:t>
                  </w:r>
                </w:p>
              </w:tc>
              <w:tc>
                <w:tcPr>
                  <w:tcW w:w="2481" w:type="dxa"/>
                </w:tcPr>
                <w:p w14:paraId="4949E8C6" w14:textId="59CBBFF8" w:rsidR="00112509" w:rsidRPr="008A13FA" w:rsidRDefault="00DB79CA" w:rsidP="00B2064D">
                  <w:pPr>
                    <w:jc w:val="center"/>
                    <w:rPr>
                      <w:rFonts w:ascii="Garamond" w:hAnsi="Garamond" w:cs="Times New Roman"/>
                    </w:rPr>
                  </w:pPr>
                  <w:r w:rsidRPr="008A13FA">
                    <w:t xml:space="preserve"> </w:t>
                  </w:r>
                  <w:r w:rsidR="00853CF0" w:rsidRPr="008A13FA">
                    <w:t xml:space="preserve"> 1,500.00mn</w:t>
                  </w:r>
                  <w:r w:rsidR="00853CF0" w:rsidRPr="008A13FA">
                    <w:rPr>
                      <w:rFonts w:ascii="Garamond" w:hAnsi="Garamond" w:cs="Times New Roman"/>
                    </w:rPr>
                    <w:t xml:space="preserve"> </w:t>
                  </w:r>
                  <w:r w:rsidR="00112509" w:rsidRPr="008A13FA">
                    <w:rPr>
                      <w:rFonts w:ascii="Garamond" w:hAnsi="Garamond" w:cs="Times New Roman"/>
                    </w:rPr>
                    <w:t>(100%)</w:t>
                  </w:r>
                </w:p>
              </w:tc>
            </w:tr>
          </w:tbl>
          <w:p w14:paraId="7CC0CF33" w14:textId="77777777" w:rsidR="00112509" w:rsidRPr="008A13FA" w:rsidRDefault="00112509" w:rsidP="00112509">
            <w:pPr>
              <w:rPr>
                <w:rFonts w:ascii="Garamond" w:hAnsi="Garamond" w:cs="Times New Roman"/>
              </w:rPr>
            </w:pPr>
          </w:p>
        </w:tc>
      </w:tr>
      <w:tr w:rsidR="000874BE" w:rsidRPr="00A219FB" w14:paraId="1D0CA187" w14:textId="77777777" w:rsidTr="00B33EE5">
        <w:trPr>
          <w:trHeight w:val="313"/>
        </w:trPr>
        <w:tc>
          <w:tcPr>
            <w:tcW w:w="3595" w:type="dxa"/>
          </w:tcPr>
          <w:p w14:paraId="3FF3AA25" w14:textId="6AEF1F7D" w:rsidR="00112509" w:rsidRPr="008A13FA" w:rsidRDefault="00112509" w:rsidP="00112509">
            <w:pPr>
              <w:rPr>
                <w:rFonts w:ascii="Garamond" w:hAnsi="Garamond" w:cs="Times New Roman"/>
              </w:rPr>
            </w:pPr>
            <w:r w:rsidRPr="008A13FA">
              <w:rPr>
                <w:rFonts w:ascii="Garamond" w:hAnsi="Garamond" w:cs="Times New Roman"/>
              </w:rPr>
              <w:t>NAV Per Share</w:t>
            </w:r>
            <w:r w:rsidR="008A13FA" w:rsidRPr="008A13FA">
              <w:rPr>
                <w:rFonts w:ascii="Garamond" w:hAnsi="Garamond" w:cs="Times New Roman"/>
              </w:rPr>
              <w:t xml:space="preserve"> (with Revaluation)</w:t>
            </w:r>
          </w:p>
        </w:tc>
        <w:tc>
          <w:tcPr>
            <w:tcW w:w="6197" w:type="dxa"/>
          </w:tcPr>
          <w:p w14:paraId="01D32A5B" w14:textId="1E208230" w:rsidR="00112509" w:rsidRPr="008A13FA" w:rsidRDefault="00112509" w:rsidP="00112509">
            <w:pPr>
              <w:rPr>
                <w:rFonts w:ascii="Garamond" w:hAnsi="Garamond" w:cs="Times New Roman"/>
              </w:rPr>
            </w:pPr>
            <w:r w:rsidRPr="008A13FA">
              <w:rPr>
                <w:rFonts w:ascii="Garamond" w:hAnsi="Garamond" w:cs="Times New Roman"/>
              </w:rPr>
              <w:t xml:space="preserve">Tk. </w:t>
            </w:r>
            <w:r w:rsidR="008A13FA" w:rsidRPr="008A13FA">
              <w:rPr>
                <w:rFonts w:ascii="Garamond" w:hAnsi="Garamond" w:cs="Times New Roman"/>
              </w:rPr>
              <w:t>45.15</w:t>
            </w:r>
            <w:r w:rsidRPr="008A13FA">
              <w:rPr>
                <w:rFonts w:ascii="Garamond" w:hAnsi="Garamond" w:cs="Times New Roman"/>
              </w:rPr>
              <w:t xml:space="preserve"> as on </w:t>
            </w:r>
            <w:r w:rsidR="00102EE8" w:rsidRPr="008A13FA">
              <w:rPr>
                <w:rFonts w:ascii="Garamond" w:hAnsi="Garamond" w:cs="Times New Roman"/>
              </w:rPr>
              <w:t>June 30, 2019</w:t>
            </w:r>
            <w:r w:rsidRPr="008A13FA">
              <w:rPr>
                <w:rFonts w:ascii="Garamond" w:hAnsi="Garamond" w:cs="Times New Roman"/>
              </w:rPr>
              <w:t xml:space="preserve"> </w:t>
            </w:r>
          </w:p>
        </w:tc>
      </w:tr>
      <w:tr w:rsidR="000874BE" w:rsidRPr="00A219FB" w14:paraId="72BA4EE7" w14:textId="77777777" w:rsidTr="00B33EE5">
        <w:trPr>
          <w:trHeight w:val="313"/>
        </w:trPr>
        <w:tc>
          <w:tcPr>
            <w:tcW w:w="3595" w:type="dxa"/>
          </w:tcPr>
          <w:p w14:paraId="089D81EE" w14:textId="2731C6AD" w:rsidR="00112509" w:rsidRPr="008A13FA" w:rsidRDefault="00112509" w:rsidP="00112509">
            <w:pPr>
              <w:rPr>
                <w:rFonts w:ascii="Garamond" w:hAnsi="Garamond" w:cs="Times New Roman"/>
              </w:rPr>
            </w:pPr>
            <w:proofErr w:type="spellStart"/>
            <w:r w:rsidRPr="008A13FA">
              <w:rPr>
                <w:rFonts w:ascii="Garamond" w:hAnsi="Garamond" w:cs="Times New Roman"/>
              </w:rPr>
              <w:t>Earning</w:t>
            </w:r>
            <w:proofErr w:type="spellEnd"/>
            <w:r w:rsidRPr="008A13FA">
              <w:rPr>
                <w:rFonts w:ascii="Garamond" w:hAnsi="Garamond" w:cs="Times New Roman"/>
              </w:rPr>
              <w:t xml:space="preserve"> Per Share (</w:t>
            </w:r>
            <w:r w:rsidR="00102EE8" w:rsidRPr="008A13FA">
              <w:rPr>
                <w:rFonts w:ascii="Garamond" w:hAnsi="Garamond" w:cs="Times New Roman"/>
              </w:rPr>
              <w:t>Basic</w:t>
            </w:r>
            <w:r w:rsidRPr="008A13FA">
              <w:rPr>
                <w:rFonts w:ascii="Garamond" w:hAnsi="Garamond" w:cs="Times New Roman"/>
              </w:rPr>
              <w:t>)</w:t>
            </w:r>
          </w:p>
        </w:tc>
        <w:tc>
          <w:tcPr>
            <w:tcW w:w="6197" w:type="dxa"/>
          </w:tcPr>
          <w:p w14:paraId="07B305D8" w14:textId="5CEF423A" w:rsidR="00112509" w:rsidRPr="008A13FA" w:rsidRDefault="00112509" w:rsidP="00112509">
            <w:pPr>
              <w:rPr>
                <w:rFonts w:ascii="Garamond" w:hAnsi="Garamond" w:cs="Times New Roman"/>
                <w:b/>
              </w:rPr>
            </w:pPr>
            <w:r w:rsidRPr="008A13FA">
              <w:rPr>
                <w:rFonts w:ascii="Garamond" w:hAnsi="Garamond" w:cs="Times New Roman"/>
              </w:rPr>
              <w:t xml:space="preserve">Tk. </w:t>
            </w:r>
            <w:r w:rsidR="00DB79CA" w:rsidRPr="008A13FA">
              <w:rPr>
                <w:rFonts w:ascii="Garamond" w:hAnsi="Garamond" w:cs="Times New Roman"/>
              </w:rPr>
              <w:t>3.13</w:t>
            </w:r>
            <w:r w:rsidRPr="008A13FA">
              <w:rPr>
                <w:rFonts w:ascii="Garamond" w:hAnsi="Garamond" w:cs="Times New Roman"/>
              </w:rPr>
              <w:t xml:space="preserve"> (for the period ended </w:t>
            </w:r>
            <w:r w:rsidR="00102EE8" w:rsidRPr="008A13FA">
              <w:rPr>
                <w:rFonts w:ascii="Garamond" w:hAnsi="Garamond" w:cs="Times New Roman"/>
              </w:rPr>
              <w:t>June 30, 2019</w:t>
            </w:r>
            <w:r w:rsidRPr="008A13FA">
              <w:rPr>
                <w:rFonts w:ascii="Garamond" w:hAnsi="Garamond" w:cs="Times New Roman"/>
                <w:b/>
              </w:rPr>
              <w:t>)</w:t>
            </w:r>
          </w:p>
          <w:p w14:paraId="1D8E2F53" w14:textId="4BEABF20" w:rsidR="00956988" w:rsidRPr="008A13FA" w:rsidRDefault="00956988" w:rsidP="00112509">
            <w:pPr>
              <w:rPr>
                <w:rFonts w:ascii="Garamond" w:hAnsi="Garamond" w:cs="Times New Roman"/>
              </w:rPr>
            </w:pPr>
          </w:p>
        </w:tc>
      </w:tr>
      <w:tr w:rsidR="000874BE" w:rsidRPr="00A219FB" w14:paraId="30DB5EF4" w14:textId="77777777" w:rsidTr="00B33EE5">
        <w:trPr>
          <w:trHeight w:val="350"/>
        </w:trPr>
        <w:tc>
          <w:tcPr>
            <w:tcW w:w="3595" w:type="dxa"/>
          </w:tcPr>
          <w:p w14:paraId="3315F659" w14:textId="1F5493FB" w:rsidR="00112509" w:rsidRPr="008A13FA" w:rsidRDefault="00112509" w:rsidP="00112509">
            <w:pPr>
              <w:rPr>
                <w:rFonts w:ascii="Garamond" w:hAnsi="Garamond" w:cs="Times New Roman"/>
              </w:rPr>
            </w:pPr>
            <w:r w:rsidRPr="008A13FA">
              <w:rPr>
                <w:rFonts w:ascii="Garamond" w:hAnsi="Garamond" w:cs="Times New Roman"/>
              </w:rPr>
              <w:lastRenderedPageBreak/>
              <w:t>Issue Manager</w:t>
            </w:r>
            <w:r w:rsidR="005B76FD" w:rsidRPr="008A13FA">
              <w:rPr>
                <w:rFonts w:ascii="Garamond" w:hAnsi="Garamond" w:cs="Times New Roman"/>
              </w:rPr>
              <w:t>s</w:t>
            </w:r>
          </w:p>
        </w:tc>
        <w:tc>
          <w:tcPr>
            <w:tcW w:w="6197" w:type="dxa"/>
          </w:tcPr>
          <w:p w14:paraId="6C987C09" w14:textId="27311EE8" w:rsidR="00112509" w:rsidRPr="008A13FA" w:rsidRDefault="008A13FA" w:rsidP="00112509">
            <w:pPr>
              <w:rPr>
                <w:rFonts w:ascii="Garamond" w:hAnsi="Garamond" w:cs="Times New Roman"/>
              </w:rPr>
            </w:pPr>
            <w:r w:rsidRPr="008A13FA">
              <w:rPr>
                <w:rFonts w:ascii="Garamond" w:hAnsi="Garamond" w:cs="Times New Roman"/>
              </w:rPr>
              <w:t>Lanka Bangla Investments L</w:t>
            </w:r>
            <w:r w:rsidR="00A219FB" w:rsidRPr="008A13FA">
              <w:rPr>
                <w:rFonts w:ascii="Garamond" w:hAnsi="Garamond" w:cs="Times New Roman"/>
              </w:rPr>
              <w:t>imited</w:t>
            </w:r>
          </w:p>
        </w:tc>
      </w:tr>
      <w:tr w:rsidR="000874BE" w:rsidRPr="00A219FB" w14:paraId="61887D79" w14:textId="77777777" w:rsidTr="00B33EE5">
        <w:trPr>
          <w:trHeight w:val="313"/>
        </w:trPr>
        <w:tc>
          <w:tcPr>
            <w:tcW w:w="3595" w:type="dxa"/>
          </w:tcPr>
          <w:p w14:paraId="6AD68FE1" w14:textId="77777777" w:rsidR="00112509" w:rsidRPr="00A219FB" w:rsidRDefault="00112509" w:rsidP="00112509">
            <w:pPr>
              <w:rPr>
                <w:rFonts w:ascii="Garamond" w:hAnsi="Garamond" w:cs="Times New Roman"/>
              </w:rPr>
            </w:pPr>
            <w:r w:rsidRPr="00A219FB">
              <w:rPr>
                <w:rFonts w:ascii="Garamond" w:hAnsi="Garamond" w:cs="Times New Roman"/>
              </w:rPr>
              <w:t>Auditor</w:t>
            </w:r>
          </w:p>
        </w:tc>
        <w:tc>
          <w:tcPr>
            <w:tcW w:w="6197" w:type="dxa"/>
          </w:tcPr>
          <w:p w14:paraId="445A9164" w14:textId="2AAD47E5" w:rsidR="00112509" w:rsidRPr="00A219FB" w:rsidRDefault="008A13FA" w:rsidP="00602842">
            <w:pPr>
              <w:rPr>
                <w:rFonts w:ascii="Garamond" w:hAnsi="Garamond" w:cs="Times New Roman"/>
              </w:rPr>
            </w:pPr>
            <w:proofErr w:type="spellStart"/>
            <w:r>
              <w:rPr>
                <w:rFonts w:ascii="Garamond" w:eastAsia="Times New Roman" w:hAnsi="Garamond" w:cs="Times New Roman"/>
              </w:rPr>
              <w:t>Howlader</w:t>
            </w:r>
            <w:proofErr w:type="spellEnd"/>
            <w:r>
              <w:rPr>
                <w:rFonts w:ascii="Garamond" w:eastAsia="Times New Roman" w:hAnsi="Garamond" w:cs="Times New Roman"/>
              </w:rPr>
              <w:t xml:space="preserve"> </w:t>
            </w:r>
            <w:proofErr w:type="spellStart"/>
            <w:r>
              <w:rPr>
                <w:rFonts w:ascii="Garamond" w:eastAsia="Times New Roman" w:hAnsi="Garamond" w:cs="Times New Roman"/>
              </w:rPr>
              <w:t>Yunus</w:t>
            </w:r>
            <w:proofErr w:type="spellEnd"/>
            <w:r>
              <w:rPr>
                <w:rFonts w:ascii="Garamond" w:eastAsia="Times New Roman" w:hAnsi="Garamond" w:cs="Times New Roman"/>
              </w:rPr>
              <w:t xml:space="preserve"> &amp; Co.</w:t>
            </w:r>
            <w:r w:rsidR="00102EE8" w:rsidRPr="00A219FB">
              <w:rPr>
                <w:rFonts w:ascii="Garamond" w:eastAsia="Times New Roman" w:hAnsi="Garamond" w:cs="Times New Roman"/>
              </w:rPr>
              <w:t xml:space="preserve"> </w:t>
            </w:r>
          </w:p>
        </w:tc>
      </w:tr>
    </w:tbl>
    <w:p w14:paraId="38ADC1C3" w14:textId="77777777" w:rsidR="00A872DD" w:rsidRPr="00A219FB" w:rsidRDefault="00FB66E2" w:rsidP="00BB69E8">
      <w:pPr>
        <w:rPr>
          <w:rFonts w:ascii="Garamond" w:hAnsi="Garamond" w:cs="Times New Roman"/>
        </w:rPr>
      </w:pPr>
    </w:p>
    <w:sectPr w:rsidR="00A872DD" w:rsidRPr="00A219FB" w:rsidSect="00E669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BE2BC" w14:textId="77777777" w:rsidR="00FB66E2" w:rsidRDefault="00FB66E2" w:rsidP="00D06126">
      <w:pPr>
        <w:spacing w:after="0" w:line="240" w:lineRule="auto"/>
      </w:pPr>
      <w:r>
        <w:separator/>
      </w:r>
    </w:p>
  </w:endnote>
  <w:endnote w:type="continuationSeparator" w:id="0">
    <w:p w14:paraId="400CD067" w14:textId="77777777" w:rsidR="00FB66E2" w:rsidRDefault="00FB66E2" w:rsidP="00D0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82C91" w14:textId="77777777" w:rsidR="00FB66E2" w:rsidRDefault="00FB66E2" w:rsidP="00D06126">
      <w:pPr>
        <w:spacing w:after="0" w:line="240" w:lineRule="auto"/>
      </w:pPr>
      <w:r>
        <w:separator/>
      </w:r>
    </w:p>
  </w:footnote>
  <w:footnote w:type="continuationSeparator" w:id="0">
    <w:p w14:paraId="42FE83F3" w14:textId="77777777" w:rsidR="00FB66E2" w:rsidRDefault="00FB66E2" w:rsidP="00D0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6EDFD" w14:textId="0539ABDF" w:rsidR="00D06126" w:rsidRPr="0023480B" w:rsidRDefault="008B77A8" w:rsidP="00D06126">
    <w:pPr>
      <w:pStyle w:val="Header"/>
      <w:jc w:val="center"/>
      <w:rPr>
        <w:b/>
      </w:rPr>
    </w:pPr>
    <w:proofErr w:type="spellStart"/>
    <w:r>
      <w:rPr>
        <w:b/>
      </w:rPr>
      <w:t>Energypac</w:t>
    </w:r>
    <w:proofErr w:type="spellEnd"/>
    <w:r>
      <w:rPr>
        <w:b/>
      </w:rPr>
      <w:t xml:space="preserve"> Power Generation Limited</w:t>
    </w:r>
  </w:p>
  <w:p w14:paraId="3984F9E6" w14:textId="77777777" w:rsidR="00D06126" w:rsidRDefault="00D06126" w:rsidP="00D06126">
    <w:pPr>
      <w:pStyle w:val="Header"/>
      <w:jc w:val="center"/>
    </w:pPr>
    <w:r w:rsidRPr="0023480B">
      <w:rPr>
        <w:b/>
      </w:rPr>
      <w:t>(As per prospectus</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903AD"/>
    <w:multiLevelType w:val="hybridMultilevel"/>
    <w:tmpl w:val="82F8D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26"/>
    <w:rsid w:val="000059DF"/>
    <w:rsid w:val="00007301"/>
    <w:rsid w:val="000119FD"/>
    <w:rsid w:val="00042ACF"/>
    <w:rsid w:val="00056E57"/>
    <w:rsid w:val="00066477"/>
    <w:rsid w:val="00074F45"/>
    <w:rsid w:val="00086961"/>
    <w:rsid w:val="000874BE"/>
    <w:rsid w:val="000C6008"/>
    <w:rsid w:val="000D0A03"/>
    <w:rsid w:val="000E1378"/>
    <w:rsid w:val="001013F0"/>
    <w:rsid w:val="00102EE8"/>
    <w:rsid w:val="00106749"/>
    <w:rsid w:val="00112509"/>
    <w:rsid w:val="0019000D"/>
    <w:rsid w:val="00192E28"/>
    <w:rsid w:val="0019701D"/>
    <w:rsid w:val="001A4B19"/>
    <w:rsid w:val="001D2E39"/>
    <w:rsid w:val="001F4823"/>
    <w:rsid w:val="002022EF"/>
    <w:rsid w:val="0022574E"/>
    <w:rsid w:val="0023480B"/>
    <w:rsid w:val="00246398"/>
    <w:rsid w:val="00284F4D"/>
    <w:rsid w:val="0028673A"/>
    <w:rsid w:val="00295F0A"/>
    <w:rsid w:val="002A585C"/>
    <w:rsid w:val="002A6471"/>
    <w:rsid w:val="002B0AD4"/>
    <w:rsid w:val="002B28F4"/>
    <w:rsid w:val="002B722E"/>
    <w:rsid w:val="002D4E47"/>
    <w:rsid w:val="002F1672"/>
    <w:rsid w:val="003047BC"/>
    <w:rsid w:val="003154CB"/>
    <w:rsid w:val="00385BAF"/>
    <w:rsid w:val="003906B8"/>
    <w:rsid w:val="003A37B3"/>
    <w:rsid w:val="003E187B"/>
    <w:rsid w:val="003E617C"/>
    <w:rsid w:val="003F4CCD"/>
    <w:rsid w:val="00405BDB"/>
    <w:rsid w:val="004372F7"/>
    <w:rsid w:val="00461DB0"/>
    <w:rsid w:val="004A22C6"/>
    <w:rsid w:val="004C0D89"/>
    <w:rsid w:val="004E0A66"/>
    <w:rsid w:val="004E436A"/>
    <w:rsid w:val="004F7E23"/>
    <w:rsid w:val="00540989"/>
    <w:rsid w:val="00554693"/>
    <w:rsid w:val="00565B10"/>
    <w:rsid w:val="005760E7"/>
    <w:rsid w:val="005B0C6C"/>
    <w:rsid w:val="005B5622"/>
    <w:rsid w:val="005B76FD"/>
    <w:rsid w:val="005C0DD2"/>
    <w:rsid w:val="00602842"/>
    <w:rsid w:val="00612B4B"/>
    <w:rsid w:val="006249A8"/>
    <w:rsid w:val="00635FCE"/>
    <w:rsid w:val="0064015A"/>
    <w:rsid w:val="00656302"/>
    <w:rsid w:val="00666F6C"/>
    <w:rsid w:val="006803BB"/>
    <w:rsid w:val="00683F26"/>
    <w:rsid w:val="00690EA8"/>
    <w:rsid w:val="006B59B1"/>
    <w:rsid w:val="006C07B8"/>
    <w:rsid w:val="006C51E2"/>
    <w:rsid w:val="006C6865"/>
    <w:rsid w:val="006D406A"/>
    <w:rsid w:val="0070252C"/>
    <w:rsid w:val="00733C6A"/>
    <w:rsid w:val="00741B7F"/>
    <w:rsid w:val="0079008F"/>
    <w:rsid w:val="007A694A"/>
    <w:rsid w:val="007C6139"/>
    <w:rsid w:val="007D0B1C"/>
    <w:rsid w:val="007F26F3"/>
    <w:rsid w:val="007F353B"/>
    <w:rsid w:val="007F40D2"/>
    <w:rsid w:val="007F6D37"/>
    <w:rsid w:val="007F6E17"/>
    <w:rsid w:val="00825E80"/>
    <w:rsid w:val="00853CF0"/>
    <w:rsid w:val="008578EF"/>
    <w:rsid w:val="0086141D"/>
    <w:rsid w:val="00861E9C"/>
    <w:rsid w:val="008645BB"/>
    <w:rsid w:val="008672B2"/>
    <w:rsid w:val="00883772"/>
    <w:rsid w:val="0089321A"/>
    <w:rsid w:val="008A13FA"/>
    <w:rsid w:val="008A2DBD"/>
    <w:rsid w:val="008B77A8"/>
    <w:rsid w:val="00921076"/>
    <w:rsid w:val="00951997"/>
    <w:rsid w:val="00956988"/>
    <w:rsid w:val="00966EBB"/>
    <w:rsid w:val="009B6927"/>
    <w:rsid w:val="00A07871"/>
    <w:rsid w:val="00A219FB"/>
    <w:rsid w:val="00A248D4"/>
    <w:rsid w:val="00A56A7D"/>
    <w:rsid w:val="00A639D1"/>
    <w:rsid w:val="00A97561"/>
    <w:rsid w:val="00AA2610"/>
    <w:rsid w:val="00AA335E"/>
    <w:rsid w:val="00AB6BFE"/>
    <w:rsid w:val="00AD347E"/>
    <w:rsid w:val="00AE5C36"/>
    <w:rsid w:val="00AF027B"/>
    <w:rsid w:val="00AF3CE5"/>
    <w:rsid w:val="00B2064D"/>
    <w:rsid w:val="00B33EE5"/>
    <w:rsid w:val="00B3411C"/>
    <w:rsid w:val="00B34BE8"/>
    <w:rsid w:val="00B36797"/>
    <w:rsid w:val="00B53F59"/>
    <w:rsid w:val="00B62C46"/>
    <w:rsid w:val="00BB35D2"/>
    <w:rsid w:val="00BB69E8"/>
    <w:rsid w:val="00C00A11"/>
    <w:rsid w:val="00C0350C"/>
    <w:rsid w:val="00C06DA2"/>
    <w:rsid w:val="00C07C2C"/>
    <w:rsid w:val="00C5364E"/>
    <w:rsid w:val="00C542EA"/>
    <w:rsid w:val="00C94110"/>
    <w:rsid w:val="00CB0F62"/>
    <w:rsid w:val="00CD2521"/>
    <w:rsid w:val="00CF41C3"/>
    <w:rsid w:val="00D04BEB"/>
    <w:rsid w:val="00D06126"/>
    <w:rsid w:val="00D06A2D"/>
    <w:rsid w:val="00D32CDB"/>
    <w:rsid w:val="00D42051"/>
    <w:rsid w:val="00D50AFB"/>
    <w:rsid w:val="00D70FF1"/>
    <w:rsid w:val="00D81D4B"/>
    <w:rsid w:val="00D81FC0"/>
    <w:rsid w:val="00DB79CA"/>
    <w:rsid w:val="00E04BB4"/>
    <w:rsid w:val="00E66973"/>
    <w:rsid w:val="00E72115"/>
    <w:rsid w:val="00E853E7"/>
    <w:rsid w:val="00E9761E"/>
    <w:rsid w:val="00EB379E"/>
    <w:rsid w:val="00EC77BE"/>
    <w:rsid w:val="00EE5BDC"/>
    <w:rsid w:val="00EF1ADA"/>
    <w:rsid w:val="00EF75A3"/>
    <w:rsid w:val="00F00D4A"/>
    <w:rsid w:val="00F0665C"/>
    <w:rsid w:val="00F158F3"/>
    <w:rsid w:val="00F64CF0"/>
    <w:rsid w:val="00F733FD"/>
    <w:rsid w:val="00F80785"/>
    <w:rsid w:val="00FB45C7"/>
    <w:rsid w:val="00FB66E2"/>
    <w:rsid w:val="00FD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09FD"/>
  <w15:docId w15:val="{E950A42F-BC89-4B17-BFCE-C80505CC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126"/>
  </w:style>
  <w:style w:type="paragraph" w:styleId="Footer">
    <w:name w:val="footer"/>
    <w:basedOn w:val="Normal"/>
    <w:link w:val="FooterChar"/>
    <w:uiPriority w:val="99"/>
    <w:unhideWhenUsed/>
    <w:rsid w:val="00D0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126"/>
  </w:style>
  <w:style w:type="paragraph" w:styleId="ListParagraph">
    <w:name w:val="List Paragraph"/>
    <w:basedOn w:val="Normal"/>
    <w:uiPriority w:val="34"/>
    <w:qFormat/>
    <w:rsid w:val="00612B4B"/>
    <w:pPr>
      <w:ind w:left="720"/>
      <w:contextualSpacing/>
    </w:pPr>
  </w:style>
  <w:style w:type="paragraph" w:styleId="BalloonText">
    <w:name w:val="Balloon Text"/>
    <w:basedOn w:val="Normal"/>
    <w:link w:val="BalloonTextChar"/>
    <w:uiPriority w:val="99"/>
    <w:semiHidden/>
    <w:unhideWhenUsed/>
    <w:rsid w:val="002F1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72"/>
    <w:rPr>
      <w:rFonts w:ascii="Segoe UI" w:hAnsi="Segoe UI" w:cs="Segoe UI"/>
      <w:sz w:val="18"/>
      <w:szCs w:val="18"/>
    </w:rPr>
  </w:style>
  <w:style w:type="character" w:styleId="Hyperlink">
    <w:name w:val="Hyperlink"/>
    <w:basedOn w:val="DefaultParagraphFont"/>
    <w:uiPriority w:val="99"/>
    <w:unhideWhenUsed/>
    <w:rsid w:val="00F733FD"/>
    <w:rPr>
      <w:color w:val="0000FF" w:themeColor="hyperlink"/>
      <w:u w:val="single"/>
    </w:rPr>
  </w:style>
  <w:style w:type="character" w:styleId="UnresolvedMention">
    <w:name w:val="Unresolved Mention"/>
    <w:basedOn w:val="DefaultParagraphFont"/>
    <w:uiPriority w:val="99"/>
    <w:semiHidden/>
    <w:unhideWhenUsed/>
    <w:rsid w:val="00F733FD"/>
    <w:rPr>
      <w:color w:val="605E5C"/>
      <w:shd w:val="clear" w:color="auto" w:fill="E1DFDD"/>
    </w:rPr>
  </w:style>
  <w:style w:type="table" w:styleId="GridTable1Light">
    <w:name w:val="Grid Table 1 Light"/>
    <w:basedOn w:val="TableNormal"/>
    <w:uiPriority w:val="46"/>
    <w:rsid w:val="00F158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8464">
      <w:bodyDiv w:val="1"/>
      <w:marLeft w:val="0"/>
      <w:marRight w:val="0"/>
      <w:marTop w:val="0"/>
      <w:marBottom w:val="0"/>
      <w:divBdr>
        <w:top w:val="none" w:sz="0" w:space="0" w:color="auto"/>
        <w:left w:val="none" w:sz="0" w:space="0" w:color="auto"/>
        <w:bottom w:val="none" w:sz="0" w:space="0" w:color="auto"/>
        <w:right w:val="none" w:sz="0" w:space="0" w:color="auto"/>
      </w:divBdr>
      <w:divsChild>
        <w:div w:id="554395206">
          <w:marLeft w:val="0"/>
          <w:marRight w:val="0"/>
          <w:marTop w:val="0"/>
          <w:marBottom w:val="0"/>
          <w:divBdr>
            <w:top w:val="none" w:sz="0" w:space="0" w:color="auto"/>
            <w:left w:val="none" w:sz="0" w:space="0" w:color="auto"/>
            <w:bottom w:val="none" w:sz="0" w:space="0" w:color="auto"/>
            <w:right w:val="none" w:sz="0" w:space="0" w:color="auto"/>
          </w:divBdr>
        </w:div>
        <w:div w:id="654264211">
          <w:marLeft w:val="0"/>
          <w:marRight w:val="0"/>
          <w:marTop w:val="0"/>
          <w:marBottom w:val="0"/>
          <w:divBdr>
            <w:top w:val="none" w:sz="0" w:space="0" w:color="auto"/>
            <w:left w:val="none" w:sz="0" w:space="0" w:color="auto"/>
            <w:bottom w:val="none" w:sz="0" w:space="0" w:color="auto"/>
            <w:right w:val="none" w:sz="0" w:space="0" w:color="auto"/>
          </w:divBdr>
        </w:div>
        <w:div w:id="2069183161">
          <w:marLeft w:val="0"/>
          <w:marRight w:val="0"/>
          <w:marTop w:val="0"/>
          <w:marBottom w:val="0"/>
          <w:divBdr>
            <w:top w:val="none" w:sz="0" w:space="0" w:color="auto"/>
            <w:left w:val="none" w:sz="0" w:space="0" w:color="auto"/>
            <w:bottom w:val="none" w:sz="0" w:space="0" w:color="auto"/>
            <w:right w:val="none" w:sz="0" w:space="0" w:color="auto"/>
          </w:divBdr>
        </w:div>
        <w:div w:id="1681003254">
          <w:marLeft w:val="0"/>
          <w:marRight w:val="0"/>
          <w:marTop w:val="0"/>
          <w:marBottom w:val="0"/>
          <w:divBdr>
            <w:top w:val="none" w:sz="0" w:space="0" w:color="auto"/>
            <w:left w:val="none" w:sz="0" w:space="0" w:color="auto"/>
            <w:bottom w:val="none" w:sz="0" w:space="0" w:color="auto"/>
            <w:right w:val="none" w:sz="0" w:space="0" w:color="auto"/>
          </w:divBdr>
        </w:div>
      </w:divsChild>
    </w:div>
    <w:div w:id="315182993">
      <w:bodyDiv w:val="1"/>
      <w:marLeft w:val="0"/>
      <w:marRight w:val="0"/>
      <w:marTop w:val="0"/>
      <w:marBottom w:val="0"/>
      <w:divBdr>
        <w:top w:val="none" w:sz="0" w:space="0" w:color="auto"/>
        <w:left w:val="none" w:sz="0" w:space="0" w:color="auto"/>
        <w:bottom w:val="none" w:sz="0" w:space="0" w:color="auto"/>
        <w:right w:val="none" w:sz="0" w:space="0" w:color="auto"/>
      </w:divBdr>
      <w:divsChild>
        <w:div w:id="1665166611">
          <w:marLeft w:val="0"/>
          <w:marRight w:val="0"/>
          <w:marTop w:val="0"/>
          <w:marBottom w:val="0"/>
          <w:divBdr>
            <w:top w:val="none" w:sz="0" w:space="0" w:color="auto"/>
            <w:left w:val="none" w:sz="0" w:space="0" w:color="auto"/>
            <w:bottom w:val="none" w:sz="0" w:space="0" w:color="auto"/>
            <w:right w:val="none" w:sz="0" w:space="0" w:color="auto"/>
          </w:divBdr>
        </w:div>
        <w:div w:id="721904389">
          <w:marLeft w:val="0"/>
          <w:marRight w:val="0"/>
          <w:marTop w:val="0"/>
          <w:marBottom w:val="0"/>
          <w:divBdr>
            <w:top w:val="none" w:sz="0" w:space="0" w:color="auto"/>
            <w:left w:val="none" w:sz="0" w:space="0" w:color="auto"/>
            <w:bottom w:val="none" w:sz="0" w:space="0" w:color="auto"/>
            <w:right w:val="none" w:sz="0" w:space="0" w:color="auto"/>
          </w:divBdr>
        </w:div>
        <w:div w:id="1387341105">
          <w:marLeft w:val="0"/>
          <w:marRight w:val="0"/>
          <w:marTop w:val="0"/>
          <w:marBottom w:val="0"/>
          <w:divBdr>
            <w:top w:val="none" w:sz="0" w:space="0" w:color="auto"/>
            <w:left w:val="none" w:sz="0" w:space="0" w:color="auto"/>
            <w:bottom w:val="none" w:sz="0" w:space="0" w:color="auto"/>
            <w:right w:val="none" w:sz="0" w:space="0" w:color="auto"/>
          </w:divBdr>
        </w:div>
        <w:div w:id="1321621110">
          <w:marLeft w:val="0"/>
          <w:marRight w:val="0"/>
          <w:marTop w:val="0"/>
          <w:marBottom w:val="0"/>
          <w:divBdr>
            <w:top w:val="none" w:sz="0" w:space="0" w:color="auto"/>
            <w:left w:val="none" w:sz="0" w:space="0" w:color="auto"/>
            <w:bottom w:val="none" w:sz="0" w:space="0" w:color="auto"/>
            <w:right w:val="none" w:sz="0" w:space="0" w:color="auto"/>
          </w:divBdr>
        </w:div>
        <w:div w:id="50809486">
          <w:marLeft w:val="0"/>
          <w:marRight w:val="0"/>
          <w:marTop w:val="0"/>
          <w:marBottom w:val="0"/>
          <w:divBdr>
            <w:top w:val="none" w:sz="0" w:space="0" w:color="auto"/>
            <w:left w:val="none" w:sz="0" w:space="0" w:color="auto"/>
            <w:bottom w:val="none" w:sz="0" w:space="0" w:color="auto"/>
            <w:right w:val="none" w:sz="0" w:space="0" w:color="auto"/>
          </w:divBdr>
        </w:div>
        <w:div w:id="1245408261">
          <w:marLeft w:val="0"/>
          <w:marRight w:val="0"/>
          <w:marTop w:val="0"/>
          <w:marBottom w:val="0"/>
          <w:divBdr>
            <w:top w:val="none" w:sz="0" w:space="0" w:color="auto"/>
            <w:left w:val="none" w:sz="0" w:space="0" w:color="auto"/>
            <w:bottom w:val="none" w:sz="0" w:space="0" w:color="auto"/>
            <w:right w:val="none" w:sz="0" w:space="0" w:color="auto"/>
          </w:divBdr>
        </w:div>
      </w:divsChild>
    </w:div>
    <w:div w:id="375198108">
      <w:bodyDiv w:val="1"/>
      <w:marLeft w:val="0"/>
      <w:marRight w:val="0"/>
      <w:marTop w:val="0"/>
      <w:marBottom w:val="0"/>
      <w:divBdr>
        <w:top w:val="none" w:sz="0" w:space="0" w:color="auto"/>
        <w:left w:val="none" w:sz="0" w:space="0" w:color="auto"/>
        <w:bottom w:val="none" w:sz="0" w:space="0" w:color="auto"/>
        <w:right w:val="none" w:sz="0" w:space="0" w:color="auto"/>
      </w:divBdr>
      <w:divsChild>
        <w:div w:id="637497799">
          <w:marLeft w:val="0"/>
          <w:marRight w:val="0"/>
          <w:marTop w:val="0"/>
          <w:marBottom w:val="0"/>
          <w:divBdr>
            <w:top w:val="none" w:sz="0" w:space="0" w:color="auto"/>
            <w:left w:val="none" w:sz="0" w:space="0" w:color="auto"/>
            <w:bottom w:val="none" w:sz="0" w:space="0" w:color="auto"/>
            <w:right w:val="none" w:sz="0" w:space="0" w:color="auto"/>
          </w:divBdr>
        </w:div>
      </w:divsChild>
    </w:div>
    <w:div w:id="1919361952">
      <w:bodyDiv w:val="1"/>
      <w:marLeft w:val="0"/>
      <w:marRight w:val="0"/>
      <w:marTop w:val="0"/>
      <w:marBottom w:val="0"/>
      <w:divBdr>
        <w:top w:val="none" w:sz="0" w:space="0" w:color="auto"/>
        <w:left w:val="none" w:sz="0" w:space="0" w:color="auto"/>
        <w:bottom w:val="none" w:sz="0" w:space="0" w:color="auto"/>
        <w:right w:val="none" w:sz="0" w:space="0" w:color="auto"/>
      </w:divBdr>
      <w:divsChild>
        <w:div w:id="1427576850">
          <w:marLeft w:val="0"/>
          <w:marRight w:val="0"/>
          <w:marTop w:val="0"/>
          <w:marBottom w:val="0"/>
          <w:divBdr>
            <w:top w:val="none" w:sz="0" w:space="0" w:color="auto"/>
            <w:left w:val="none" w:sz="0" w:space="0" w:color="auto"/>
            <w:bottom w:val="none" w:sz="0" w:space="0" w:color="auto"/>
            <w:right w:val="none" w:sz="0" w:space="0" w:color="auto"/>
          </w:divBdr>
        </w:div>
        <w:div w:id="109250216">
          <w:marLeft w:val="0"/>
          <w:marRight w:val="0"/>
          <w:marTop w:val="0"/>
          <w:marBottom w:val="0"/>
          <w:divBdr>
            <w:top w:val="none" w:sz="0" w:space="0" w:color="auto"/>
            <w:left w:val="none" w:sz="0" w:space="0" w:color="auto"/>
            <w:bottom w:val="none" w:sz="0" w:space="0" w:color="auto"/>
            <w:right w:val="none" w:sz="0" w:space="0" w:color="auto"/>
          </w:divBdr>
        </w:div>
        <w:div w:id="183140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dc:creator>
  <cp:lastModifiedBy>User</cp:lastModifiedBy>
  <cp:revision>9</cp:revision>
  <cp:lastPrinted>2019-11-06T04:51:00Z</cp:lastPrinted>
  <dcterms:created xsi:type="dcterms:W3CDTF">2020-12-08T09:58:00Z</dcterms:created>
  <dcterms:modified xsi:type="dcterms:W3CDTF">2020-12-13T10:10:00Z</dcterms:modified>
</cp:coreProperties>
</file>